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tiff" ContentType="image/tif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27.200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P45/49</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pPr>
        <w:pStyle w:val="52"/>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中温太阳能空调系统设计规范</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Design specification for medium temperature solar air conditioning system</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（本草案完成时间：2024-08）</w:t>
      </w:r>
      <w:r>
        <w:rPr>
          <w:sz w:val="21"/>
          <w:szCs w:val="28"/>
        </w:rPr>
        <w:fldChar w:fldCharType="end"/>
      </w:r>
      <w:bookmarkEnd w:id="12"/>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山东省市场监督管理局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v:fill on="f" focussize="0,0"/>
                <v:stroke color="#000000" joinstyle="round"/>
                <v:imagedata o:title=""/>
                <o:lock v:ext="edit" aspectratio="f"/>
                <w10:anchorlock/>
              </v:line>
            </w:pict>
          </mc:Fallback>
        </mc:AlternateContent>
      </w:r>
    </w:p>
    <w:p>
      <w:pPr>
        <w:pStyle w:val="93"/>
        <w:spacing w:after="468"/>
        <w:rPr>
          <w:rFonts w:hint="eastAsia"/>
        </w:rPr>
      </w:pPr>
      <w:bookmarkStart w:id="21" w:name="BookMark1"/>
      <w:bookmarkStart w:id="22" w:name="_Toc16547"/>
      <w:bookmarkStart w:id="23" w:name="_Toc178339483"/>
      <w:bookmarkStart w:id="24" w:name="_Toc5679"/>
      <w:bookmarkStart w:id="25" w:name="_Toc171601708"/>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"_Toc178344995" </w:instrText>
      </w:r>
      <w:r>
        <w:fldChar w:fldCharType="separate"/>
      </w:r>
      <w:r>
        <w:rPr>
          <w:rStyle w:val="33"/>
          <w:rFonts w:hint="eastAsia"/>
        </w:rPr>
        <w:t>前言</w:t>
      </w:r>
      <w:r>
        <w:tab/>
      </w:r>
      <w:r>
        <w:fldChar w:fldCharType="begin"/>
      </w:r>
      <w:r>
        <w:instrText xml:space="preserve"> PAGEREF _Toc178344995 \h </w:instrText>
      </w:r>
      <w:r>
        <w:fldChar w:fldCharType="separate"/>
      </w:r>
      <w:r>
        <w:t>II</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"_Toc178344996" </w:instrText>
      </w:r>
      <w:r>
        <w:fldChar w:fldCharType="separate"/>
      </w:r>
      <w:r>
        <w:rPr>
          <w:rStyle w:val="33"/>
        </w:rPr>
        <w:t xml:space="preserve">1 </w:t>
      </w:r>
      <w:r>
        <w:rPr>
          <w:rStyle w:val="33"/>
          <w:rFonts w:hint="eastAsia"/>
        </w:rPr>
        <w:t xml:space="preserve"> 范围</w:t>
      </w:r>
      <w:r>
        <w:tab/>
      </w:r>
      <w:r>
        <w:fldChar w:fldCharType="begin"/>
      </w:r>
      <w:r>
        <w:instrText xml:space="preserve"> PAGEREF _Toc178344996 \h </w:instrText>
      </w:r>
      <w:r>
        <w:fldChar w:fldCharType="separate"/>
      </w:r>
      <w:r>
        <w:t>0</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"_Toc178344997"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_Toc178344997 \h </w:instrText>
      </w:r>
      <w:r>
        <w:fldChar w:fldCharType="separate"/>
      </w:r>
      <w:r>
        <w:t>0</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"_Toc178344998"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_Toc178344998 \h </w:instrText>
      </w:r>
      <w:r>
        <w:fldChar w:fldCharType="separate"/>
      </w:r>
      <w:r>
        <w:t>0</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"_Toc178344999" </w:instrText>
      </w:r>
      <w:r>
        <w:fldChar w:fldCharType="separate"/>
      </w:r>
      <w:r>
        <w:rPr>
          <w:rStyle w:val="33"/>
        </w:rPr>
        <w:t xml:space="preserve">4 </w:t>
      </w:r>
      <w:r>
        <w:rPr>
          <w:rStyle w:val="33"/>
          <w:rFonts w:hint="eastAsia"/>
        </w:rPr>
        <w:t xml:space="preserve"> 系统分类和构成</w:t>
      </w:r>
      <w:r>
        <w:tab/>
      </w:r>
      <w:r>
        <w:fldChar w:fldCharType="begin"/>
      </w:r>
      <w:r>
        <w:instrText xml:space="preserve"> PAGEREF _Toc178344999 \h </w:instrText>
      </w:r>
      <w:r>
        <w:fldChar w:fldCharType="separate"/>
      </w:r>
      <w:r>
        <w:t>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"_Toc178345000" </w:instrText>
      </w:r>
      <w:r>
        <w:fldChar w:fldCharType="separate"/>
      </w:r>
      <w:r>
        <w:rPr>
          <w:rStyle w:val="33"/>
        </w:rPr>
        <w:t xml:space="preserve">4.1 </w:t>
      </w:r>
      <w:r>
        <w:rPr>
          <w:rStyle w:val="33"/>
          <w:rFonts w:hint="eastAsia"/>
        </w:rPr>
        <w:t xml:space="preserve"> 系统分类</w:t>
      </w:r>
      <w:r>
        <w:tab/>
      </w:r>
      <w:r>
        <w:fldChar w:fldCharType="begin"/>
      </w:r>
      <w:r>
        <w:instrText xml:space="preserve"> PAGEREF _Toc178345000 \h </w:instrText>
      </w:r>
      <w:r>
        <w:fldChar w:fldCharType="separate"/>
      </w:r>
      <w:r>
        <w:t>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"_Toc178345001" </w:instrText>
      </w:r>
      <w:r>
        <w:fldChar w:fldCharType="separate"/>
      </w:r>
      <w:r>
        <w:rPr>
          <w:rStyle w:val="33"/>
        </w:rPr>
        <w:t xml:space="preserve">4.2 </w:t>
      </w:r>
      <w:r>
        <w:rPr>
          <w:rStyle w:val="33"/>
          <w:rFonts w:hint="eastAsia"/>
        </w:rPr>
        <w:t xml:space="preserve"> 系统构成</w:t>
      </w:r>
      <w:r>
        <w:tab/>
      </w:r>
      <w:r>
        <w:fldChar w:fldCharType="begin"/>
      </w:r>
      <w:r>
        <w:instrText xml:space="preserve"> PAGEREF _Toc178345001 \h </w:instrText>
      </w:r>
      <w:r>
        <w:fldChar w:fldCharType="separate"/>
      </w:r>
      <w:r>
        <w:t>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"_Toc178345002" </w:instrText>
      </w:r>
      <w:r>
        <w:fldChar w:fldCharType="separate"/>
      </w:r>
      <w:r>
        <w:rPr>
          <w:rStyle w:val="33"/>
        </w:rPr>
        <w:t xml:space="preserve">5 </w:t>
      </w:r>
      <w:r>
        <w:rPr>
          <w:rStyle w:val="33"/>
          <w:rFonts w:hint="eastAsia"/>
        </w:rPr>
        <w:t xml:space="preserve"> 总体要求</w:t>
      </w:r>
      <w:r>
        <w:tab/>
      </w:r>
      <w:r>
        <w:fldChar w:fldCharType="begin"/>
      </w:r>
      <w:r>
        <w:instrText xml:space="preserve"> PAGEREF _Toc178345002 \h </w:instrText>
      </w:r>
      <w:r>
        <w:fldChar w:fldCharType="separate"/>
      </w:r>
      <w:r>
        <w:t>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"_Toc178345003" </w:instrText>
      </w:r>
      <w:r>
        <w:fldChar w:fldCharType="separate"/>
      </w:r>
      <w:r>
        <w:rPr>
          <w:rStyle w:val="33"/>
        </w:rPr>
        <w:t xml:space="preserve">6 </w:t>
      </w:r>
      <w:r>
        <w:rPr>
          <w:rStyle w:val="33"/>
          <w:rFonts w:hint="eastAsia"/>
        </w:rPr>
        <w:t xml:space="preserve"> 系统设计</w:t>
      </w:r>
      <w:r>
        <w:tab/>
      </w:r>
      <w:r>
        <w:fldChar w:fldCharType="begin"/>
      </w:r>
      <w:r>
        <w:instrText xml:space="preserve"> PAGEREF _Toc178345003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"_Toc178345004" </w:instrText>
      </w:r>
      <w:r>
        <w:fldChar w:fldCharType="separate"/>
      </w:r>
      <w:r>
        <w:rPr>
          <w:rStyle w:val="33"/>
        </w:rPr>
        <w:t xml:space="preserve">6.1 </w:t>
      </w:r>
      <w:r>
        <w:rPr>
          <w:rStyle w:val="33"/>
          <w:rFonts w:hint="eastAsia"/>
        </w:rPr>
        <w:t xml:space="preserve"> 中温太阳能集热系统</w:t>
      </w:r>
      <w:r>
        <w:tab/>
      </w:r>
      <w:r>
        <w:fldChar w:fldCharType="begin"/>
      </w:r>
      <w:r>
        <w:instrText xml:space="preserve"> PAGEREF _Toc178345004 \h </w:instrText>
      </w:r>
      <w:r>
        <w:fldChar w:fldCharType="separate"/>
      </w:r>
      <w:r>
        <w:t>2</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"_Toc178345005" </w:instrText>
      </w:r>
      <w:r>
        <w:fldChar w:fldCharType="separate"/>
      </w:r>
      <w:r>
        <w:rPr>
          <w:rStyle w:val="33"/>
        </w:rPr>
        <w:t xml:space="preserve">6.2 </w:t>
      </w:r>
      <w:r>
        <w:rPr>
          <w:rStyle w:val="33"/>
          <w:rFonts w:hint="eastAsia"/>
        </w:rPr>
        <w:t xml:space="preserve"> 蓄热系统</w:t>
      </w:r>
      <w:r>
        <w:tab/>
      </w:r>
      <w:r>
        <w:fldChar w:fldCharType="begin"/>
      </w:r>
      <w:r>
        <w:instrText xml:space="preserve"> PAGEREF _Toc178345005 \h </w:instrText>
      </w:r>
      <w:r>
        <w:fldChar w:fldCharType="separate"/>
      </w:r>
      <w:r>
        <w:t>4</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"_Toc178345006" </w:instrText>
      </w:r>
      <w:r>
        <w:fldChar w:fldCharType="separate"/>
      </w:r>
      <w:r>
        <w:rPr>
          <w:rStyle w:val="33"/>
        </w:rPr>
        <w:t xml:space="preserve">6.3 </w:t>
      </w:r>
      <w:r>
        <w:rPr>
          <w:rStyle w:val="33"/>
          <w:rFonts w:hint="eastAsia"/>
        </w:rPr>
        <w:t xml:space="preserve"> 辅助热源系统</w:t>
      </w:r>
      <w:r>
        <w:tab/>
      </w:r>
      <w:r>
        <w:fldChar w:fldCharType="begin"/>
      </w:r>
      <w:r>
        <w:instrText xml:space="preserve"> PAGEREF _Toc178345006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"_Toc178345007" </w:instrText>
      </w:r>
      <w:r>
        <w:fldChar w:fldCharType="separate"/>
      </w:r>
      <w:r>
        <w:rPr>
          <w:rStyle w:val="33"/>
        </w:rPr>
        <w:t xml:space="preserve">6.4 </w:t>
      </w:r>
      <w:r>
        <w:rPr>
          <w:rStyle w:val="33"/>
          <w:rFonts w:hint="eastAsia"/>
        </w:rPr>
        <w:t xml:space="preserve"> 换热调节系统</w:t>
      </w:r>
      <w:r>
        <w:tab/>
      </w:r>
      <w:r>
        <w:fldChar w:fldCharType="begin"/>
      </w:r>
      <w:r>
        <w:instrText xml:space="preserve"> PAGEREF _Toc178345007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"_Toc178345008" </w:instrText>
      </w:r>
      <w:r>
        <w:fldChar w:fldCharType="separate"/>
      </w:r>
      <w:r>
        <w:rPr>
          <w:rStyle w:val="33"/>
        </w:rPr>
        <w:t xml:space="preserve">6.5 </w:t>
      </w:r>
      <w:r>
        <w:rPr>
          <w:rStyle w:val="33"/>
          <w:rFonts w:hint="eastAsia"/>
        </w:rPr>
        <w:t xml:space="preserve"> 热驱动制冷系统</w:t>
      </w:r>
      <w:r>
        <w:tab/>
      </w:r>
      <w:r>
        <w:fldChar w:fldCharType="begin"/>
      </w:r>
      <w:r>
        <w:instrText xml:space="preserve"> PAGEREF _Toc178345008 \h </w:instrText>
      </w:r>
      <w:r>
        <w:fldChar w:fldCharType="separate"/>
      </w:r>
      <w:r>
        <w:t>5</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"_Toc178345009" </w:instrText>
      </w:r>
      <w:r>
        <w:fldChar w:fldCharType="separate"/>
      </w:r>
      <w:r>
        <w:rPr>
          <w:rStyle w:val="33"/>
        </w:rPr>
        <w:t xml:space="preserve">6.6 </w:t>
      </w:r>
      <w:r>
        <w:rPr>
          <w:rStyle w:val="33"/>
          <w:rFonts w:hint="eastAsia"/>
        </w:rPr>
        <w:t xml:space="preserve"> 蓄冷系统</w:t>
      </w:r>
      <w:r>
        <w:tab/>
      </w:r>
      <w:r>
        <w:fldChar w:fldCharType="begin"/>
      </w:r>
      <w:r>
        <w:instrText xml:space="preserve"> PAGEREF _Toc178345009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"_Toc178345010" </w:instrText>
      </w:r>
      <w:r>
        <w:fldChar w:fldCharType="separate"/>
      </w:r>
      <w:r>
        <w:rPr>
          <w:rStyle w:val="33"/>
        </w:rPr>
        <w:t xml:space="preserve">6.7 </w:t>
      </w:r>
      <w:r>
        <w:rPr>
          <w:rStyle w:val="33"/>
          <w:rFonts w:hint="eastAsia"/>
        </w:rPr>
        <w:t xml:space="preserve"> 辅助冷源系统</w:t>
      </w:r>
      <w:r>
        <w:tab/>
      </w:r>
      <w:r>
        <w:fldChar w:fldCharType="begin"/>
      </w:r>
      <w:r>
        <w:instrText xml:space="preserve"> PAGEREF _Toc178345010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"_Toc178345011" </w:instrText>
      </w:r>
      <w:r>
        <w:fldChar w:fldCharType="separate"/>
      </w:r>
      <w:r>
        <w:rPr>
          <w:rStyle w:val="33"/>
        </w:rPr>
        <w:t xml:space="preserve">6.8 </w:t>
      </w:r>
      <w:r>
        <w:rPr>
          <w:rStyle w:val="33"/>
          <w:rFonts w:hint="eastAsia"/>
        </w:rPr>
        <w:t xml:space="preserve"> 电气与控制系统</w:t>
      </w:r>
      <w:r>
        <w:tab/>
      </w:r>
      <w:r>
        <w:fldChar w:fldCharType="begin"/>
      </w:r>
      <w:r>
        <w:instrText xml:space="preserve"> PAGEREF _Toc178345011 \h </w:instrText>
      </w:r>
      <w:r>
        <w:fldChar w:fldCharType="separate"/>
      </w:r>
      <w:r>
        <w:t>6</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"_Toc178345012" </w:instrText>
      </w:r>
      <w:r>
        <w:fldChar w:fldCharType="separate"/>
      </w:r>
      <w:r>
        <w:rPr>
          <w:rStyle w:val="33"/>
        </w:rPr>
        <w:t xml:space="preserve">6.9 </w:t>
      </w:r>
      <w:r>
        <w:rPr>
          <w:rStyle w:val="33"/>
          <w:rFonts w:hint="eastAsia"/>
        </w:rPr>
        <w:t xml:space="preserve"> 其它设备</w:t>
      </w:r>
      <w:r>
        <w:tab/>
      </w:r>
      <w:r>
        <w:fldChar w:fldCharType="begin"/>
      </w:r>
      <w:r>
        <w:instrText xml:space="preserve"> PAGEREF _Toc178345012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"_Toc178345013" </w:instrText>
      </w:r>
      <w:r>
        <w:fldChar w:fldCharType="separate"/>
      </w:r>
      <w:r>
        <w:rPr>
          <w:rStyle w:val="33"/>
        </w:rPr>
        <w:t xml:space="preserve">7 </w:t>
      </w:r>
      <w:r>
        <w:rPr>
          <w:rStyle w:val="33"/>
          <w:rFonts w:hint="eastAsia"/>
        </w:rPr>
        <w:t xml:space="preserve"> 系统性能评估方法</w:t>
      </w:r>
      <w:r>
        <w:tab/>
      </w:r>
      <w:r>
        <w:fldChar w:fldCharType="begin"/>
      </w:r>
      <w:r>
        <w:instrText xml:space="preserve"> PAGEREF _Toc178345013 \h </w:instrText>
      </w:r>
      <w:r>
        <w:fldChar w:fldCharType="separate"/>
      </w:r>
      <w:r>
        <w:t>7</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"_Toc178345014" </w:instrText>
      </w:r>
      <w:r>
        <w:fldChar w:fldCharType="separate"/>
      </w:r>
      <w:r>
        <w:rPr>
          <w:rStyle w:val="33"/>
          <w:rFonts w:hint="eastAsia"/>
        </w:rPr>
        <w:t>附录A（资料性）</w:t>
      </w:r>
      <w:r>
        <w:rPr>
          <w:rStyle w:val="33"/>
        </w:rPr>
        <w:t xml:space="preserve">  </w:t>
      </w:r>
      <w:r>
        <w:rPr>
          <w:rStyle w:val="33"/>
          <w:rFonts w:hint="eastAsia"/>
        </w:rPr>
        <w:t>导热油特性参数表</w:t>
      </w:r>
      <w:r>
        <w:tab/>
      </w:r>
      <w:r>
        <w:fldChar w:fldCharType="begin"/>
      </w:r>
      <w:r>
        <w:instrText xml:space="preserve"> PAGEREF _Toc178345014 \h </w:instrText>
      </w:r>
      <w:r>
        <w:fldChar w:fldCharType="separate"/>
      </w:r>
      <w:r>
        <w:t>8</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"_Toc178345015" </w:instrText>
      </w:r>
      <w:r>
        <w:fldChar w:fldCharType="separate"/>
      </w:r>
      <w:r>
        <w:rPr>
          <w:rStyle w:val="33"/>
          <w:rFonts w:hint="eastAsia"/>
        </w:rPr>
        <w:t>附录B（规范性）</w:t>
      </w:r>
      <w:r>
        <w:rPr>
          <w:rStyle w:val="33"/>
        </w:rPr>
        <w:t xml:space="preserve">  </w:t>
      </w:r>
      <w:r>
        <w:rPr>
          <w:rStyle w:val="33"/>
          <w:rFonts w:hint="eastAsia"/>
        </w:rPr>
        <w:t>中温太阳能空调系统安装、调试及维护</w:t>
      </w:r>
      <w:r>
        <w:tab/>
      </w:r>
      <w:r>
        <w:fldChar w:fldCharType="begin"/>
      </w:r>
      <w:r>
        <w:instrText xml:space="preserve"> PAGEREF _Toc178345015 \h </w:instrText>
      </w:r>
      <w:r>
        <w:fldChar w:fldCharType="separate"/>
      </w:r>
      <w:r>
        <w:t>11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"_Toc178345016" </w:instrText>
      </w:r>
      <w:r>
        <w:fldChar w:fldCharType="separate"/>
      </w:r>
      <w:r>
        <w:rPr>
          <w:rStyle w:val="33"/>
        </w:rPr>
        <w:t xml:space="preserve">B.1 </w:t>
      </w:r>
      <w:r>
        <w:rPr>
          <w:rStyle w:val="33"/>
          <w:rFonts w:hint="eastAsia"/>
        </w:rPr>
        <w:t xml:space="preserve"> 安装</w:t>
      </w:r>
      <w:r>
        <w:tab/>
      </w:r>
      <w:r>
        <w:fldChar w:fldCharType="begin"/>
      </w:r>
      <w:r>
        <w:instrText xml:space="preserve"> PAGEREF _Toc178345016 \h </w:instrText>
      </w:r>
      <w:r>
        <w:fldChar w:fldCharType="separate"/>
      </w:r>
      <w:r>
        <w:t>11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"_Toc178345017" </w:instrText>
      </w:r>
      <w:r>
        <w:fldChar w:fldCharType="separate"/>
      </w:r>
      <w:r>
        <w:rPr>
          <w:rStyle w:val="33"/>
        </w:rPr>
        <w:t xml:space="preserve">B.2 </w:t>
      </w:r>
      <w:r>
        <w:rPr>
          <w:rStyle w:val="33"/>
          <w:rFonts w:hint="eastAsia"/>
        </w:rPr>
        <w:t xml:space="preserve"> 调试</w:t>
      </w:r>
      <w:r>
        <w:tab/>
      </w:r>
      <w:r>
        <w:fldChar w:fldCharType="begin"/>
      </w:r>
      <w:r>
        <w:instrText xml:space="preserve"> PAGEREF _Toc178345017 \h </w:instrText>
      </w:r>
      <w:r>
        <w:fldChar w:fldCharType="separate"/>
      </w:r>
      <w:r>
        <w:t>11</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"_Toc178345018" </w:instrText>
      </w:r>
      <w:r>
        <w:fldChar w:fldCharType="separate"/>
      </w:r>
      <w:r>
        <w:rPr>
          <w:rStyle w:val="33"/>
        </w:rPr>
        <w:t xml:space="preserve">B.3 </w:t>
      </w:r>
      <w:r>
        <w:rPr>
          <w:rStyle w:val="33"/>
          <w:rFonts w:hint="eastAsia"/>
        </w:rPr>
        <w:t xml:space="preserve"> 维护</w:t>
      </w:r>
      <w:r>
        <w:tab/>
      </w:r>
      <w:r>
        <w:fldChar w:fldCharType="begin"/>
      </w:r>
      <w:r>
        <w:instrText xml:space="preserve"> PAGEREF _Toc178345018 \h </w:instrText>
      </w:r>
      <w:r>
        <w:fldChar w:fldCharType="separate"/>
      </w:r>
      <w:r>
        <w:t>11</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"_Toc178345019" </w:instrText>
      </w:r>
      <w:r>
        <w:fldChar w:fldCharType="separate"/>
      </w:r>
      <w:r>
        <w:rPr>
          <w:rStyle w:val="33"/>
          <w:rFonts w:hint="eastAsia"/>
        </w:rPr>
        <w:t>附录C（资料性）</w:t>
      </w:r>
      <w:r>
        <w:rPr>
          <w:rStyle w:val="33"/>
        </w:rPr>
        <w:t xml:space="preserve">  </w:t>
      </w:r>
      <w:r>
        <w:rPr>
          <w:rStyle w:val="33"/>
          <w:rFonts w:hint="eastAsia"/>
        </w:rPr>
        <w:t>山东地区日太阳辐照量分段天数统计表</w:t>
      </w:r>
      <w:r>
        <w:tab/>
      </w:r>
      <w:r>
        <w:fldChar w:fldCharType="begin"/>
      </w:r>
      <w:r>
        <w:instrText xml:space="preserve"> PAGEREF _Toc178345019 \h </w:instrText>
      </w:r>
      <w:r>
        <w:fldChar w:fldCharType="separate"/>
      </w:r>
      <w:r>
        <w:t>12</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"_Toc178345020" </w:instrText>
      </w:r>
      <w:r>
        <w:fldChar w:fldCharType="separate"/>
      </w:r>
      <w:r>
        <w:rPr>
          <w:rStyle w:val="33"/>
          <w:rFonts w:hint="eastAsia"/>
        </w:rPr>
        <w:t>附录D（规范性）</w:t>
      </w:r>
      <w:r>
        <w:rPr>
          <w:rStyle w:val="33"/>
        </w:rPr>
        <w:t xml:space="preserve">  </w:t>
      </w:r>
      <w:r>
        <w:rPr>
          <w:rStyle w:val="33"/>
          <w:rFonts w:hint="eastAsia"/>
        </w:rPr>
        <w:t>中温太阳能空调系统试验要求及参数计算方法</w:t>
      </w:r>
      <w:r>
        <w:tab/>
      </w:r>
      <w:r>
        <w:fldChar w:fldCharType="begin"/>
      </w:r>
      <w:r>
        <w:instrText xml:space="preserve"> PAGEREF _Toc178345020 \h </w:instrText>
      </w:r>
      <w:r>
        <w:fldChar w:fldCharType="separate"/>
      </w:r>
      <w:r>
        <w:t>13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"_Toc178345021" </w:instrText>
      </w:r>
      <w:r>
        <w:fldChar w:fldCharType="separate"/>
      </w:r>
      <w:r>
        <w:rPr>
          <w:rStyle w:val="33"/>
        </w:rPr>
        <w:t xml:space="preserve">D.1 </w:t>
      </w:r>
      <w:r>
        <w:rPr>
          <w:rStyle w:val="33"/>
          <w:rFonts w:hint="eastAsia"/>
        </w:rPr>
        <w:t xml:space="preserve"> 计量设备类型及准确度</w:t>
      </w:r>
      <w:r>
        <w:tab/>
      </w:r>
      <w:r>
        <w:fldChar w:fldCharType="begin"/>
      </w:r>
      <w:r>
        <w:instrText xml:space="preserve"> PAGEREF _Toc178345021 \h </w:instrText>
      </w:r>
      <w:r>
        <w:fldChar w:fldCharType="separate"/>
      </w:r>
      <w:r>
        <w:t>13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"_Toc178345022" </w:instrText>
      </w:r>
      <w:r>
        <w:fldChar w:fldCharType="separate"/>
      </w:r>
      <w:r>
        <w:rPr>
          <w:rStyle w:val="33"/>
        </w:rPr>
        <w:t xml:space="preserve">D.2 </w:t>
      </w:r>
      <w:r>
        <w:rPr>
          <w:rStyle w:val="33"/>
          <w:rFonts w:hint="eastAsia"/>
        </w:rPr>
        <w:t xml:space="preserve"> 试验条件</w:t>
      </w:r>
      <w:r>
        <w:tab/>
      </w:r>
      <w:r>
        <w:fldChar w:fldCharType="begin"/>
      </w:r>
      <w:r>
        <w:instrText xml:space="preserve"> PAGEREF _Toc178345022 \h </w:instrText>
      </w:r>
      <w:r>
        <w:fldChar w:fldCharType="separate"/>
      </w:r>
      <w:r>
        <w:t>13</w:t>
      </w:r>
      <w:r>
        <w:fldChar w:fldCharType="end"/>
      </w:r>
      <w:r>
        <w:fldChar w:fldCharType="end"/>
      </w:r>
    </w:p>
    <w:p>
      <w:pPr>
        <w:pStyle w:val="25"/>
        <w:rPr>
          <w:rFonts w:asciiTheme="minorHAnsi" w:hAnsiTheme="minorHAnsi" w:eastAsiaTheme="minorEastAsia" w:cstheme="minorBidi"/>
          <w:szCs w:val="22"/>
        </w:rPr>
      </w:pPr>
      <w:r>
        <w:fldChar w:fldCharType="begin"/>
      </w:r>
      <w:r>
        <w:instrText xml:space="preserve"> HYPERLINK \l "_Toc178345023" </w:instrText>
      </w:r>
      <w:r>
        <w:fldChar w:fldCharType="separate"/>
      </w:r>
      <w:r>
        <w:rPr>
          <w:rStyle w:val="33"/>
        </w:rPr>
        <w:t xml:space="preserve">D.3 </w:t>
      </w:r>
      <w:r>
        <w:rPr>
          <w:rStyle w:val="33"/>
          <w:rFonts w:hint="eastAsia"/>
        </w:rPr>
        <w:t xml:space="preserve"> 试验方法</w:t>
      </w:r>
      <w:r>
        <w:tab/>
      </w:r>
      <w:r>
        <w:fldChar w:fldCharType="begin"/>
      </w:r>
      <w:r>
        <w:instrText xml:space="preserve"> PAGEREF _Toc178345023 \h </w:instrText>
      </w:r>
      <w:r>
        <w:fldChar w:fldCharType="separate"/>
      </w:r>
      <w:r>
        <w:t>14</w:t>
      </w:r>
      <w:r>
        <w:fldChar w:fldCharType="end"/>
      </w:r>
      <w:r>
        <w:fldChar w:fldCharType="end"/>
      </w:r>
    </w:p>
    <w:p>
      <w:pPr>
        <w:pStyle w:val="20"/>
        <w:tabs>
          <w:tab w:val="right" w:leader="dot" w:pos="9344"/>
        </w:tabs>
        <w:rPr>
          <w:rFonts w:asciiTheme="minorHAnsi" w:hAnsiTheme="minorHAnsi" w:eastAsiaTheme="minorEastAsia" w:cstheme="minorBidi"/>
          <w:szCs w:val="22"/>
        </w:rPr>
      </w:pPr>
      <w:r>
        <w:fldChar w:fldCharType="begin"/>
      </w:r>
      <w:r>
        <w:instrText xml:space="preserve"> HYPERLINK \l "_Toc178345024" </w:instrText>
      </w:r>
      <w:r>
        <w:fldChar w:fldCharType="separate"/>
      </w:r>
      <w:r>
        <w:rPr>
          <w:rStyle w:val="33"/>
          <w:rFonts w:hint="eastAsia"/>
        </w:rPr>
        <w:t>参考文献</w:t>
      </w:r>
      <w:r>
        <w:tab/>
      </w:r>
      <w:r>
        <w:fldChar w:fldCharType="begin"/>
      </w:r>
      <w:r>
        <w:instrText xml:space="preserve"> PAGEREF _Toc178345024 \h </w:instrText>
      </w:r>
      <w:r>
        <w:fldChar w:fldCharType="separate"/>
      </w:r>
      <w:r>
        <w:t>20</w:t>
      </w:r>
      <w:r>
        <w:fldChar w:fldCharType="end"/>
      </w:r>
      <w:r>
        <w:fldChar w:fldCharType="end"/>
      </w:r>
    </w:p>
    <w:p>
      <w:pPr>
        <w:pStyle w:val="93"/>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before="900" w:after="468"/>
      </w:pPr>
      <w:bookmarkStart w:id="26" w:name="_Toc178344995"/>
      <w:bookmarkStart w:id="27" w:name="BookMark2"/>
      <w:r>
        <w:rPr>
          <w:spacing w:val="320"/>
        </w:rPr>
        <w:t>前</w:t>
      </w:r>
      <w:r>
        <w:t>言</w:t>
      </w:r>
      <w:bookmarkEnd w:id="22"/>
      <w:bookmarkEnd w:id="23"/>
      <w:bookmarkEnd w:id="24"/>
      <w:bookmarkEnd w:id="25"/>
      <w:bookmarkEnd w:id="26"/>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本文件由山东省能源局提出并组织实施。</w:t>
      </w:r>
    </w:p>
    <w:p>
      <w:pPr>
        <w:pStyle w:val="58"/>
        <w:ind w:firstLine="420"/>
      </w:pPr>
      <w:r>
        <w:rPr>
          <w:rFonts w:hint="eastAsia"/>
        </w:rPr>
        <w:t>本文件由山东省能源标准化技术委员会归口。</w:t>
      </w:r>
    </w:p>
    <w:p>
      <w:pPr>
        <w:pStyle w:val="58"/>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黑体" w:hAnsi="黑体" w:eastAsia="黑体"/>
          <w:sz w:val="32"/>
          <w:szCs w:val="32"/>
        </w:rPr>
      </w:pPr>
      <w:bookmarkStart w:id="28" w:name="BookMark4"/>
    </w:p>
    <w:p>
      <w:pPr>
        <w:spacing w:line="20" w:lineRule="exact"/>
        <w:jc w:val="center"/>
        <w:rPr>
          <w:rFonts w:ascii="黑体" w:hAnsi="黑体" w:eastAsia="黑体"/>
          <w:sz w:val="32"/>
          <w:szCs w:val="32"/>
        </w:rPr>
      </w:pPr>
    </w:p>
    <w:sdt>
      <w:sdtPr>
        <w:tag w:val="NEW_STAND_NAME"/>
        <w:id w:val="595910757"/>
        <w:lock w:val="sdtLocked"/>
        <w:placeholder>
          <w:docPart w:val="394539CB2F534BF9B0382044EAC04333"/>
        </w:placeholder>
      </w:sdtPr>
      <w:sdtContent>
        <w:p>
          <w:pPr>
            <w:pStyle w:val="179"/>
            <w:spacing w:before="312" w:beforeLines="100" w:after="686" w:afterLines="220"/>
          </w:pPr>
          <w:bookmarkStart w:id="29" w:name="NEW_STAND_NAME"/>
          <w:r>
            <w:rPr>
              <w:rFonts w:hint="eastAsia"/>
            </w:rPr>
            <w:t>中温太阳能空调系统设计规范</w:t>
          </w:r>
        </w:p>
      </w:sdtContent>
    </w:sdt>
    <w:bookmarkEnd w:id="29"/>
    <w:p>
      <w:pPr>
        <w:pStyle w:val="106"/>
        <w:spacing w:before="312" w:after="312"/>
      </w:pPr>
      <w:bookmarkStart w:id="30" w:name="_Toc24884211"/>
      <w:bookmarkStart w:id="31" w:name="_Toc26718930"/>
      <w:bookmarkStart w:id="32" w:name="_Toc97191423"/>
      <w:bookmarkStart w:id="33" w:name="_Toc171601709"/>
      <w:bookmarkStart w:id="34" w:name="_Toc17233333"/>
      <w:bookmarkStart w:id="35" w:name="_Toc171583670"/>
      <w:bookmarkStart w:id="36" w:name="_Toc13290"/>
      <w:bookmarkStart w:id="37" w:name="_Toc24884218"/>
      <w:bookmarkStart w:id="38" w:name="_Toc11743"/>
      <w:bookmarkStart w:id="39" w:name="_Toc178339484"/>
      <w:bookmarkStart w:id="40" w:name="_Toc178344996"/>
      <w:bookmarkStart w:id="41" w:name="_Toc26986530"/>
      <w:bookmarkStart w:id="42" w:name="_Toc26648465"/>
      <w:bookmarkStart w:id="43" w:name="_Toc17233325"/>
      <w:bookmarkStart w:id="44" w:name="_Toc26986771"/>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8"/>
        <w:ind w:firstLine="420"/>
      </w:pPr>
      <w:bookmarkStart w:id="45" w:name="_Toc17233326"/>
      <w:bookmarkStart w:id="46" w:name="_Toc24884219"/>
      <w:bookmarkStart w:id="47" w:name="_Toc26648466"/>
      <w:bookmarkStart w:id="48" w:name="_Toc17233334"/>
      <w:bookmarkStart w:id="49" w:name="_Toc24884212"/>
      <w:r>
        <w:rPr>
          <w:rFonts w:hint="eastAsia"/>
        </w:rPr>
        <w:t>本文件规定了中温太阳能空调系统的分类和构成、总体要求和系统设计等要求。</w:t>
      </w:r>
    </w:p>
    <w:p>
      <w:pPr>
        <w:pStyle w:val="58"/>
        <w:ind w:firstLine="420"/>
      </w:pPr>
      <w:r>
        <w:rPr>
          <w:rFonts w:hint="eastAsia"/>
        </w:rPr>
        <w:t>本文件适用于建筑或工农业生产领域利用太阳能集热系统产生的100℃～250℃范围的热水、蒸汽、导热油为驱动热源提供空调制冷的太阳能空调系统。</w:t>
      </w:r>
    </w:p>
    <w:p>
      <w:pPr>
        <w:pStyle w:val="106"/>
        <w:spacing w:before="312" w:after="312"/>
      </w:pPr>
      <w:bookmarkStart w:id="50" w:name="_Toc97191424"/>
      <w:bookmarkStart w:id="51" w:name="_Toc18018"/>
      <w:bookmarkStart w:id="52" w:name="_Toc26718931"/>
      <w:bookmarkStart w:id="53" w:name="_Toc171583671"/>
      <w:bookmarkStart w:id="54" w:name="_Toc26986531"/>
      <w:bookmarkStart w:id="55" w:name="_Toc26986772"/>
      <w:bookmarkStart w:id="56" w:name="_Toc178344997"/>
      <w:bookmarkStart w:id="57" w:name="_Toc18592"/>
      <w:bookmarkStart w:id="58" w:name="_Toc178339485"/>
      <w:bookmarkStart w:id="59" w:name="_Toc17160171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F59118D5B6EE41A6A010BDA66E3892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r>
        <w:rPr>
          <w:rFonts w:hint="eastAsia"/>
        </w:rPr>
        <w:t>GB/T 151 热交换器</w:t>
      </w:r>
    </w:p>
    <w:p>
      <w:pPr>
        <w:pStyle w:val="58"/>
        <w:ind w:firstLine="420"/>
      </w:pPr>
      <w:r>
        <w:rPr>
          <w:rFonts w:hint="eastAsia"/>
        </w:rPr>
        <w:t>GB 3797 电气控制设备</w:t>
      </w:r>
    </w:p>
    <w:p>
      <w:pPr>
        <w:pStyle w:val="58"/>
        <w:ind w:firstLine="420"/>
      </w:pPr>
      <w:r>
        <w:rPr>
          <w:rFonts w:hint="eastAsia"/>
        </w:rPr>
        <w:t>GB/T 12936 太阳能热利用术语</w:t>
      </w:r>
    </w:p>
    <w:p>
      <w:pPr>
        <w:pStyle w:val="58"/>
        <w:ind w:firstLine="420"/>
      </w:pPr>
      <w:r>
        <w:rPr>
          <w:rFonts w:hint="eastAsia"/>
        </w:rPr>
        <w:t>GB 18361 溴化锂吸收式冷（温）水机组安全要求</w:t>
      </w:r>
    </w:p>
    <w:p>
      <w:pPr>
        <w:pStyle w:val="58"/>
        <w:ind w:firstLine="420"/>
      </w:pPr>
      <w:r>
        <w:rPr>
          <w:rFonts w:hint="eastAsia"/>
        </w:rPr>
        <w:t>GB/T 18431 蒸汽和热水型溴化锂吸收式冷水机组</w:t>
      </w:r>
    </w:p>
    <w:p>
      <w:pPr>
        <w:pStyle w:val="58"/>
        <w:ind w:firstLine="420"/>
      </w:pPr>
      <w:r>
        <w:rPr>
          <w:rFonts w:hint="eastAsia"/>
        </w:rPr>
        <w:t>GB/T 18713 太阳热水系统设计、安装及工程验收技术规范</w:t>
      </w:r>
    </w:p>
    <w:p>
      <w:pPr>
        <w:pStyle w:val="58"/>
        <w:ind w:firstLine="420"/>
      </w:pPr>
      <w:r>
        <w:rPr>
          <w:rFonts w:hint="eastAsia"/>
        </w:rPr>
        <w:t>GB/T 22070 氨水吸收式制冷机组</w:t>
      </w:r>
    </w:p>
    <w:p>
      <w:pPr>
        <w:pStyle w:val="58"/>
        <w:ind w:firstLine="420"/>
      </w:pPr>
      <w:r>
        <w:rPr>
          <w:rFonts w:hint="eastAsia"/>
        </w:rPr>
        <w:t>GB/T 25859 蓄冷系统用蓄冰槽型式与基本参数</w:t>
      </w:r>
    </w:p>
    <w:p>
      <w:pPr>
        <w:pStyle w:val="58"/>
        <w:ind w:firstLine="420"/>
      </w:pPr>
      <w:r>
        <w:rPr>
          <w:rFonts w:hint="eastAsia"/>
        </w:rPr>
        <w:t>GB/T 29724 太阳能热水系统能量监测</w:t>
      </w:r>
    </w:p>
    <w:p>
      <w:pPr>
        <w:pStyle w:val="58"/>
        <w:ind w:firstLine="420"/>
      </w:pPr>
      <w:r>
        <w:rPr>
          <w:rFonts w:hint="eastAsia"/>
        </w:rPr>
        <w:t>GB/T 40517 太阳能中低温蓄热装置</w:t>
      </w:r>
    </w:p>
    <w:p>
      <w:pPr>
        <w:pStyle w:val="58"/>
        <w:ind w:firstLine="420"/>
      </w:pPr>
      <w:r>
        <w:rPr>
          <w:rFonts w:hint="eastAsia"/>
        </w:rPr>
        <w:t>GB 50019 工业建筑供暖通风与空气调节设计规范</w:t>
      </w:r>
    </w:p>
    <w:p>
      <w:pPr>
        <w:pStyle w:val="58"/>
        <w:ind w:firstLine="420"/>
      </w:pPr>
      <w:r>
        <w:rPr>
          <w:rFonts w:hint="eastAsia"/>
        </w:rPr>
        <w:t>GB 50495 太阳能供热采暖工程技术规范</w:t>
      </w:r>
    </w:p>
    <w:p>
      <w:pPr>
        <w:pStyle w:val="58"/>
        <w:ind w:firstLine="420"/>
      </w:pPr>
      <w:r>
        <w:rPr>
          <w:rFonts w:hint="eastAsia"/>
        </w:rPr>
        <w:t>GB/T 50736 民用建筑采暖通风与空气调节设计规范</w:t>
      </w:r>
    </w:p>
    <w:p>
      <w:pPr>
        <w:pStyle w:val="58"/>
        <w:ind w:firstLine="420"/>
      </w:pPr>
      <w:r>
        <w:rPr>
          <w:rFonts w:hint="eastAsia"/>
        </w:rPr>
        <w:t>SB/T 10343 蓄冷设备的性能标定</w:t>
      </w:r>
    </w:p>
    <w:p>
      <w:pPr>
        <w:pStyle w:val="58"/>
        <w:ind w:firstLine="420"/>
      </w:pPr>
      <w:r>
        <w:rPr>
          <w:rFonts w:hint="eastAsia"/>
        </w:rPr>
        <w:t>ISO 9488 太阳能词汇（Solar energy-Vocabulary）</w:t>
      </w:r>
    </w:p>
    <w:p>
      <w:pPr>
        <w:pStyle w:val="106"/>
        <w:spacing w:before="312" w:after="312"/>
      </w:pPr>
      <w:bookmarkStart w:id="60" w:name="_Toc97191425"/>
      <w:bookmarkStart w:id="61" w:name="_Toc178339486"/>
      <w:bookmarkStart w:id="62" w:name="_Toc2039"/>
      <w:bookmarkStart w:id="63" w:name="_Toc1318"/>
      <w:bookmarkStart w:id="64" w:name="_Toc171601711"/>
      <w:bookmarkStart w:id="65" w:name="_Toc178344998"/>
      <w:bookmarkStart w:id="66" w:name="_Toc171583672"/>
      <w:r>
        <w:rPr>
          <w:rFonts w:hint="eastAsia"/>
          <w:szCs w:val="21"/>
        </w:rPr>
        <w:t>术语和定义</w:t>
      </w:r>
      <w:bookmarkEnd w:id="60"/>
      <w:bookmarkEnd w:id="61"/>
      <w:bookmarkEnd w:id="62"/>
      <w:bookmarkEnd w:id="63"/>
      <w:bookmarkEnd w:id="64"/>
      <w:bookmarkEnd w:id="65"/>
      <w:bookmarkEnd w:id="66"/>
    </w:p>
    <w:p>
      <w:pPr>
        <w:pStyle w:val="58"/>
        <w:ind w:firstLine="420"/>
      </w:pPr>
      <w:bookmarkStart w:id="67" w:name="_Toc26986532"/>
      <w:bookmarkEnd w:id="67"/>
      <w:r>
        <w:rPr>
          <w:rFonts w:hint="eastAsia"/>
        </w:rPr>
        <w:t>GB/T 12936、GB/T 18713和ISO 9488界定的以及下列术语和定义适用于本文件。</w:t>
      </w:r>
    </w:p>
    <w:p>
      <w:pPr>
        <w:pStyle w:val="225"/>
        <w:rPr>
          <w:rFonts w:ascii="黑体" w:hAnsi="黑体" w:eastAsia="黑体"/>
        </w:rPr>
      </w:pPr>
    </w:p>
    <w:p>
      <w:pPr>
        <w:pStyle w:val="225"/>
        <w:numPr>
          <w:ilvl w:val="255"/>
          <w:numId w:val="0"/>
        </w:numPr>
        <w:rPr>
          <w:rFonts w:ascii="黑体" w:hAnsi="黑体" w:eastAsia="黑体"/>
        </w:rPr>
      </w:pPr>
      <w:r>
        <w:rPr>
          <w:rFonts w:hint="eastAsia" w:ascii="黑体" w:hAnsi="黑体" w:eastAsia="黑体"/>
        </w:rPr>
        <w:t xml:space="preserve">    中温太阳能空调系统  medium temperature solar air conditioning system</w:t>
      </w:r>
    </w:p>
    <w:p>
      <w:pPr>
        <w:pStyle w:val="58"/>
        <w:ind w:firstLine="420"/>
      </w:pPr>
      <w:r>
        <w:rPr>
          <w:rFonts w:hint="eastAsia"/>
        </w:rPr>
        <w:t>由太阳能集热提供温度在100℃～250℃之间热源，供建筑、工农业生产用空调制冷的系统。</w:t>
      </w:r>
    </w:p>
    <w:p>
      <w:pPr>
        <w:pStyle w:val="225"/>
        <w:rPr>
          <w:rFonts w:ascii="黑体" w:hAnsi="黑体" w:eastAsia="黑体"/>
        </w:rPr>
      </w:pPr>
    </w:p>
    <w:p>
      <w:pPr>
        <w:pStyle w:val="225"/>
        <w:numPr>
          <w:ilvl w:val="255"/>
          <w:numId w:val="0"/>
        </w:numPr>
        <w:rPr>
          <w:rFonts w:ascii="黑体" w:hAnsi="黑体" w:eastAsia="黑体"/>
        </w:rPr>
      </w:pPr>
      <w:r>
        <w:rPr>
          <w:rFonts w:hint="eastAsia" w:ascii="黑体" w:hAnsi="黑体" w:eastAsia="黑体"/>
        </w:rPr>
        <w:t xml:space="preserve">    换热调节系统  heat exchange regulation system</w:t>
      </w:r>
    </w:p>
    <w:p>
      <w:pPr>
        <w:pStyle w:val="58"/>
        <w:ind w:firstLine="420"/>
      </w:pPr>
      <w:r>
        <w:rPr>
          <w:rFonts w:hint="eastAsia"/>
        </w:rPr>
        <w:t>为了调节因太阳辐照变化引起的太阳能集热系统热力输出参数变化而设置的调节系统。</w:t>
      </w:r>
    </w:p>
    <w:p>
      <w:pPr>
        <w:pStyle w:val="225"/>
        <w:rPr>
          <w:rFonts w:ascii="黑体" w:hAnsi="黑体" w:eastAsia="黑体"/>
        </w:rPr>
      </w:pPr>
    </w:p>
    <w:p>
      <w:pPr>
        <w:pStyle w:val="225"/>
        <w:numPr>
          <w:ilvl w:val="255"/>
          <w:numId w:val="0"/>
        </w:numPr>
        <w:rPr>
          <w:rFonts w:ascii="黑体" w:hAnsi="黑体" w:eastAsia="黑体"/>
        </w:rPr>
      </w:pPr>
      <w:r>
        <w:rPr>
          <w:rFonts w:hint="eastAsia" w:ascii="黑体" w:hAnsi="黑体" w:eastAsia="黑体"/>
        </w:rPr>
        <w:t xml:space="preserve">    中温太阳能空调系统负荷率  load rate of medium temperature solar air conditioning system</w:t>
      </w:r>
    </w:p>
    <w:p>
      <w:pPr>
        <w:pStyle w:val="58"/>
        <w:ind w:firstLine="420"/>
      </w:pPr>
      <w:r>
        <w:rPr>
          <w:rFonts w:hint="eastAsia"/>
        </w:rPr>
        <w:t>中温太阳能空调系统所提供的设计制冷量与该区域设计冷负荷之比。</w:t>
      </w:r>
    </w:p>
    <w:p>
      <w:pPr>
        <w:pStyle w:val="58"/>
        <w:ind w:firstLine="420"/>
      </w:pPr>
      <w:r>
        <w:rPr>
          <w:rFonts w:hint="eastAsia"/>
        </w:rPr>
        <w:t>[来源：GB 50801,2.0.11，有修改]</w:t>
      </w:r>
    </w:p>
    <w:p>
      <w:pPr>
        <w:pStyle w:val="225"/>
        <w:rPr>
          <w:rFonts w:ascii="黑体" w:hAnsi="黑体" w:eastAsia="黑体"/>
        </w:rPr>
      </w:pPr>
    </w:p>
    <w:p>
      <w:pPr>
        <w:pStyle w:val="225"/>
        <w:numPr>
          <w:ilvl w:val="255"/>
          <w:numId w:val="0"/>
        </w:numPr>
        <w:rPr>
          <w:rFonts w:ascii="黑体" w:hAnsi="黑体" w:eastAsia="黑体"/>
        </w:rPr>
      </w:pPr>
      <w:r>
        <w:rPr>
          <w:rFonts w:hint="eastAsia" w:ascii="黑体" w:hAnsi="黑体" w:eastAsia="黑体"/>
        </w:rPr>
        <w:t xml:space="preserve">    中温太阳能空调系统制冷性能系数  cooling performance coefficient of medium temperature solar air conditioning system </w:t>
      </w:r>
    </w:p>
    <w:p>
      <w:pPr>
        <w:pStyle w:val="58"/>
        <w:ind w:firstLine="420"/>
      </w:pPr>
      <w:r>
        <w:rPr>
          <w:rFonts w:hint="eastAsia"/>
        </w:rPr>
        <w:t>在规定时段内中温太阳能空调系统输出的制冷量与同一时段内入射在集热器采光面积上的太阳辐射总量的比值。</w:t>
      </w:r>
    </w:p>
    <w:p>
      <w:pPr>
        <w:pStyle w:val="225"/>
        <w:rPr>
          <w:rFonts w:ascii="黑体" w:hAnsi="黑体" w:eastAsia="黑体"/>
        </w:rPr>
      </w:pPr>
    </w:p>
    <w:p>
      <w:pPr>
        <w:pStyle w:val="225"/>
        <w:numPr>
          <w:ilvl w:val="0"/>
          <w:numId w:val="0"/>
        </w:numPr>
        <w:rPr>
          <w:rFonts w:ascii="黑体" w:hAnsi="黑体" w:eastAsia="黑体"/>
        </w:rPr>
      </w:pPr>
      <w:r>
        <w:rPr>
          <w:rFonts w:hint="eastAsia" w:ascii="黑体" w:hAnsi="黑体" w:eastAsia="黑体"/>
        </w:rPr>
        <w:t xml:space="preserve">    中温太阳能空调系统综合性能系数  comprehensive performance coefficient of medium temperature solar air conditioning system</w:t>
      </w:r>
    </w:p>
    <w:p>
      <w:pPr>
        <w:pStyle w:val="58"/>
        <w:ind w:firstLine="420"/>
      </w:pPr>
      <w:r>
        <w:rPr>
          <w:rFonts w:hint="eastAsia"/>
        </w:rPr>
        <w:t>在规定时段内中温太阳能空调系统输出的制冷量与同一时段内入射在集热器采光面积上的太阳辐射总量与耗电量之和的比值。</w:t>
      </w:r>
    </w:p>
    <w:p>
      <w:pPr>
        <w:pStyle w:val="106"/>
        <w:spacing w:before="312" w:after="312"/>
      </w:pPr>
      <w:bookmarkStart w:id="68" w:name="_Toc178339487"/>
      <w:bookmarkStart w:id="69" w:name="_Toc15356"/>
      <w:bookmarkStart w:id="70" w:name="_Toc178344999"/>
      <w:bookmarkStart w:id="71" w:name="_Toc29980"/>
      <w:bookmarkStart w:id="72" w:name="_Toc171601712"/>
      <w:r>
        <w:rPr>
          <w:rFonts w:hint="eastAsia"/>
        </w:rPr>
        <w:t>系统分类和构成</w:t>
      </w:r>
      <w:bookmarkEnd w:id="68"/>
      <w:bookmarkEnd w:id="69"/>
      <w:bookmarkEnd w:id="70"/>
      <w:bookmarkEnd w:id="71"/>
      <w:bookmarkEnd w:id="72"/>
    </w:p>
    <w:p>
      <w:pPr>
        <w:pStyle w:val="107"/>
        <w:spacing w:before="156" w:after="156"/>
      </w:pPr>
      <w:bookmarkStart w:id="73" w:name="_Toc171601713"/>
      <w:bookmarkStart w:id="74" w:name="_Toc4328"/>
      <w:bookmarkStart w:id="75" w:name="_Toc19074"/>
      <w:bookmarkStart w:id="76" w:name="_Toc178339488"/>
      <w:bookmarkStart w:id="77" w:name="_Toc178345000"/>
      <w:r>
        <w:rPr>
          <w:rFonts w:hint="eastAsia"/>
        </w:rPr>
        <w:t>系统分类</w:t>
      </w:r>
      <w:bookmarkEnd w:id="73"/>
      <w:bookmarkEnd w:id="74"/>
      <w:bookmarkEnd w:id="75"/>
      <w:bookmarkEnd w:id="76"/>
      <w:bookmarkEnd w:id="77"/>
    </w:p>
    <w:p>
      <w:pPr>
        <w:pStyle w:val="67"/>
        <w:spacing w:before="156" w:after="156"/>
      </w:pPr>
      <w:r>
        <w:rPr>
          <w:rFonts w:hint="eastAsia"/>
        </w:rPr>
        <w:t>按集热系统类型</w:t>
      </w:r>
    </w:p>
    <w:p>
      <w:pPr>
        <w:pStyle w:val="58"/>
        <w:ind w:firstLine="420"/>
      </w:pPr>
      <w:r>
        <w:rPr>
          <w:rFonts w:hint="eastAsia"/>
        </w:rPr>
        <w:t>中温太阳能空调系统按集热系统类型划分为真空管型和平板型：</w:t>
      </w:r>
    </w:p>
    <w:p>
      <w:pPr>
        <w:pStyle w:val="176"/>
      </w:pPr>
      <w:r>
        <w:rPr>
          <w:rFonts w:hint="eastAsia"/>
        </w:rPr>
        <w:t>真空管型中温太阳能空调系统为采用真空管型集热器系统，真空管型集热器又可划分为聚光型和非聚光型；</w:t>
      </w:r>
    </w:p>
    <w:p>
      <w:pPr>
        <w:pStyle w:val="176"/>
      </w:pPr>
      <w:r>
        <w:rPr>
          <w:rFonts w:hint="eastAsia"/>
        </w:rPr>
        <w:t>平板型中温太阳能空调系统为采用平板型集热器系统。</w:t>
      </w:r>
    </w:p>
    <w:p>
      <w:pPr>
        <w:pStyle w:val="67"/>
        <w:spacing w:before="156" w:after="156"/>
      </w:pPr>
      <w:r>
        <w:rPr>
          <w:rFonts w:hint="eastAsia"/>
        </w:rPr>
        <w:t>按加热介质</w:t>
      </w:r>
    </w:p>
    <w:p>
      <w:pPr>
        <w:pStyle w:val="58"/>
        <w:ind w:firstLine="420"/>
      </w:pPr>
      <w:r>
        <w:rPr>
          <w:rFonts w:hint="eastAsia"/>
        </w:rPr>
        <w:t>中温太阳能空调系统按加热介质划分为热水型、蒸汽型和导热油型（导热油特性参数见附录A中表A.1）：</w:t>
      </w:r>
    </w:p>
    <w:p>
      <w:pPr>
        <w:pStyle w:val="176"/>
        <w:numPr>
          <w:ilvl w:val="0"/>
          <w:numId w:val="32"/>
        </w:numPr>
      </w:pPr>
      <w:r>
        <w:rPr>
          <w:rFonts w:hint="eastAsia"/>
        </w:rPr>
        <w:t>热水型中温太阳能空调系统为采用水</w:t>
      </w:r>
      <w:r>
        <w:rPr>
          <w:rFonts w:hint="eastAsia"/>
          <w:lang w:val="en-US" w:eastAsia="zh-CN"/>
        </w:rPr>
        <w:t>作为介质</w:t>
      </w:r>
      <w:r>
        <w:rPr>
          <w:rFonts w:hint="eastAsia"/>
        </w:rPr>
        <w:t>的系统；</w:t>
      </w:r>
    </w:p>
    <w:p>
      <w:pPr>
        <w:pStyle w:val="176"/>
      </w:pPr>
      <w:r>
        <w:rPr>
          <w:rFonts w:hint="eastAsia"/>
        </w:rPr>
        <w:t>蒸汽型中温太阳能空调系统为采用水蒸汽</w:t>
      </w:r>
      <w:r>
        <w:rPr>
          <w:rFonts w:hint="eastAsia"/>
          <w:lang w:val="en-US" w:eastAsia="zh-CN"/>
        </w:rPr>
        <w:t>作为介质</w:t>
      </w:r>
      <w:r>
        <w:rPr>
          <w:rFonts w:hint="eastAsia"/>
        </w:rPr>
        <w:t>的系统；</w:t>
      </w:r>
    </w:p>
    <w:p>
      <w:pPr>
        <w:pStyle w:val="176"/>
      </w:pPr>
      <w:r>
        <w:rPr>
          <w:rFonts w:hint="eastAsia"/>
        </w:rPr>
        <w:t>导热油型中温太阳能空调系统为采用导热油</w:t>
      </w:r>
      <w:r>
        <w:rPr>
          <w:rFonts w:hint="eastAsia"/>
          <w:lang w:val="en-US" w:eastAsia="zh-CN"/>
        </w:rPr>
        <w:t>作为介质</w:t>
      </w:r>
      <w:r>
        <w:rPr>
          <w:rFonts w:hint="eastAsia"/>
        </w:rPr>
        <w:t>的系统。</w:t>
      </w:r>
    </w:p>
    <w:p>
      <w:pPr>
        <w:pStyle w:val="67"/>
        <w:spacing w:before="156" w:after="156"/>
      </w:pPr>
      <w:r>
        <w:rPr>
          <w:rFonts w:hint="eastAsia"/>
        </w:rPr>
        <w:t>按制冷设备</w:t>
      </w:r>
    </w:p>
    <w:p>
      <w:pPr>
        <w:pStyle w:val="58"/>
        <w:ind w:firstLine="420"/>
      </w:pPr>
      <w:r>
        <w:rPr>
          <w:rFonts w:hint="eastAsia"/>
        </w:rPr>
        <w:t>中温太阳能空调系统按制冷设备划分为吸附型、吸收型和除湿型：</w:t>
      </w:r>
    </w:p>
    <w:p>
      <w:pPr>
        <w:pStyle w:val="176"/>
        <w:numPr>
          <w:ilvl w:val="0"/>
          <w:numId w:val="33"/>
        </w:numPr>
      </w:pPr>
      <w:r>
        <w:rPr>
          <w:rFonts w:hint="eastAsia"/>
        </w:rPr>
        <w:t>吸附型中温太阳能空调系统为采用吸附式机组的系统；</w:t>
      </w:r>
    </w:p>
    <w:p>
      <w:pPr>
        <w:pStyle w:val="176"/>
        <w:numPr>
          <w:ilvl w:val="0"/>
          <w:numId w:val="33"/>
        </w:numPr>
      </w:pPr>
      <w:r>
        <w:rPr>
          <w:rFonts w:hint="eastAsia"/>
        </w:rPr>
        <w:t>吸收型中温太阳能空调系统为采用吸收式机组的系统；</w:t>
      </w:r>
    </w:p>
    <w:p>
      <w:pPr>
        <w:pStyle w:val="176"/>
        <w:numPr>
          <w:ilvl w:val="0"/>
          <w:numId w:val="33"/>
        </w:numPr>
      </w:pPr>
      <w:r>
        <w:rPr>
          <w:rFonts w:hint="eastAsia"/>
        </w:rPr>
        <w:t>除湿型中温太阳能空调系统为采用除湿式机组的系统。</w:t>
      </w:r>
    </w:p>
    <w:p>
      <w:pPr>
        <w:pStyle w:val="107"/>
        <w:spacing w:before="156" w:after="156"/>
      </w:pPr>
      <w:bookmarkStart w:id="78" w:name="_Toc26928"/>
      <w:bookmarkStart w:id="79" w:name="_Toc23838"/>
      <w:bookmarkStart w:id="80" w:name="_Toc171601714"/>
      <w:bookmarkStart w:id="81" w:name="_Toc178339489"/>
      <w:bookmarkStart w:id="82" w:name="_Toc178345001"/>
      <w:r>
        <w:rPr>
          <w:rFonts w:hint="eastAsia"/>
        </w:rPr>
        <w:t>系统构成</w:t>
      </w:r>
      <w:bookmarkEnd w:id="78"/>
      <w:bookmarkEnd w:id="79"/>
      <w:bookmarkEnd w:id="80"/>
      <w:bookmarkEnd w:id="81"/>
      <w:bookmarkEnd w:id="82"/>
    </w:p>
    <w:p>
      <w:pPr>
        <w:pStyle w:val="58"/>
        <w:ind w:firstLine="420"/>
      </w:pPr>
      <w:r>
        <w:rPr>
          <w:rFonts w:hint="eastAsia"/>
        </w:rPr>
        <w:t>中温太阳能空调系统主要由中温太阳能集热系统、热驱动制冷系统、蓄热系统、蓄冷系统、换热调节系统、辅助热源系统、辅助冷源系统和电气与控制系统构成，如图1所示。</w:t>
      </w:r>
    </w:p>
    <w:p>
      <w:pPr>
        <w:pStyle w:val="116"/>
        <w:numPr>
          <w:ilvl w:val="0"/>
          <w:numId w:val="0"/>
        </w:numPr>
        <w:spacing w:before="156" w:after="156"/>
      </w:pPr>
      <w:r>
        <w:rPr>
          <w:rFonts w:hint="eastAsia"/>
        </w:rPr>
        <w:drawing>
          <wp:inline distT="0" distB="0" distL="114300" distR="114300">
            <wp:extent cx="5198110" cy="2039620"/>
            <wp:effectExtent l="0" t="0" r="0" b="0"/>
            <wp:docPr id="1" name="图片 3" descr="5ffe6338b7dbfffccb0396449e997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5ffe6338b7dbfffccb0396449e9976b"/>
                    <pic:cNvPicPr>
                      <a:picLocks noChangeAspect="1"/>
                    </pic:cNvPicPr>
                  </pic:nvPicPr>
                  <pic:blipFill>
                    <a:blip r:embed="rId43" cstate="print"/>
                    <a:srcRect t="15036" r="12393" b="35072"/>
                    <a:stretch>
                      <a:fillRect/>
                    </a:stretch>
                  </pic:blipFill>
                  <pic:spPr>
                    <a:xfrm>
                      <a:off x="0" y="0"/>
                      <a:ext cx="5198110" cy="2039620"/>
                    </a:xfrm>
                    <a:prstGeom prst="rect">
                      <a:avLst/>
                    </a:prstGeom>
                    <a:noFill/>
                    <a:ln>
                      <a:noFill/>
                    </a:ln>
                  </pic:spPr>
                </pic:pic>
              </a:graphicData>
            </a:graphic>
          </wp:inline>
        </w:drawing>
      </w:r>
    </w:p>
    <w:p>
      <w:pPr>
        <w:pStyle w:val="58"/>
        <w:ind w:firstLine="420"/>
      </w:pPr>
      <w:r>
        <w:rPr>
          <w:rFonts w:hint="eastAsia"/>
        </w:rPr>
        <w:t>标引序号说明：</w:t>
      </w:r>
    </w:p>
    <w:p>
      <w:pPr>
        <w:pStyle w:val="58"/>
        <w:ind w:firstLine="420"/>
      </w:pPr>
      <w:r>
        <w:rPr>
          <w:rFonts w:hint="eastAsia"/>
        </w:rPr>
        <w:t>1—中温太阳能集热系统；</w:t>
      </w:r>
    </w:p>
    <w:p>
      <w:pPr>
        <w:pStyle w:val="58"/>
        <w:ind w:firstLine="420"/>
      </w:pPr>
      <w:r>
        <w:rPr>
          <w:rFonts w:hint="eastAsia"/>
        </w:rPr>
        <w:t>2—蓄热系统；</w:t>
      </w:r>
    </w:p>
    <w:p>
      <w:pPr>
        <w:pStyle w:val="58"/>
        <w:ind w:firstLine="420"/>
      </w:pPr>
      <w:r>
        <w:rPr>
          <w:rFonts w:hint="eastAsia"/>
        </w:rPr>
        <w:t>3—换热调节系统；</w:t>
      </w:r>
    </w:p>
    <w:p>
      <w:pPr>
        <w:pStyle w:val="58"/>
        <w:ind w:firstLine="420"/>
      </w:pPr>
      <w:r>
        <w:rPr>
          <w:rFonts w:hint="eastAsia"/>
        </w:rPr>
        <w:t>4—热驱动制冷系统；</w:t>
      </w:r>
    </w:p>
    <w:p>
      <w:pPr>
        <w:pStyle w:val="58"/>
        <w:ind w:firstLine="420"/>
      </w:pPr>
      <w:r>
        <w:rPr>
          <w:rFonts w:hint="eastAsia"/>
        </w:rPr>
        <w:t>5—蓄冷系统；</w:t>
      </w:r>
    </w:p>
    <w:p>
      <w:pPr>
        <w:pStyle w:val="58"/>
        <w:ind w:firstLine="420"/>
      </w:pPr>
      <w:r>
        <w:rPr>
          <w:rFonts w:hint="eastAsia"/>
        </w:rPr>
        <w:t>6—用户；</w:t>
      </w:r>
    </w:p>
    <w:p>
      <w:pPr>
        <w:pStyle w:val="58"/>
        <w:ind w:firstLine="420"/>
      </w:pPr>
      <w:r>
        <w:rPr>
          <w:rFonts w:hint="eastAsia"/>
        </w:rPr>
        <w:t>7—辅助热源系统；</w:t>
      </w:r>
    </w:p>
    <w:p>
      <w:pPr>
        <w:pStyle w:val="58"/>
        <w:ind w:firstLine="420"/>
      </w:pPr>
      <w:r>
        <w:rPr>
          <w:rFonts w:hint="eastAsia"/>
        </w:rPr>
        <w:t>8—辅助冷源系统；</w:t>
      </w:r>
    </w:p>
    <w:p>
      <w:pPr>
        <w:pStyle w:val="58"/>
        <w:ind w:firstLine="420"/>
      </w:pPr>
      <w:r>
        <w:rPr>
          <w:rFonts w:hint="eastAsia"/>
        </w:rPr>
        <w:t>9—电气与控制系统。</w:t>
      </w:r>
    </w:p>
    <w:p>
      <w:pPr>
        <w:pStyle w:val="116"/>
        <w:spacing w:before="156" w:after="156"/>
      </w:pPr>
      <w:r>
        <w:t xml:space="preserve"> </w:t>
      </w:r>
      <w:r>
        <w:rPr>
          <w:rFonts w:hint="eastAsia"/>
        </w:rPr>
        <w:t>中温太阳能空调系统构成示意图</w:t>
      </w:r>
    </w:p>
    <w:p>
      <w:pPr>
        <w:pStyle w:val="106"/>
        <w:spacing w:before="312" w:after="312"/>
      </w:pPr>
      <w:bookmarkStart w:id="83" w:name="_Toc178339490"/>
      <w:bookmarkStart w:id="84" w:name="_Toc20804"/>
      <w:bookmarkStart w:id="85" w:name="_Toc178345002"/>
      <w:bookmarkStart w:id="86" w:name="_Toc171601715"/>
      <w:bookmarkStart w:id="87" w:name="_Toc28917"/>
      <w:r>
        <w:rPr>
          <w:rFonts w:hint="eastAsia"/>
        </w:rPr>
        <w:t>总体要求</w:t>
      </w:r>
      <w:bookmarkEnd w:id="83"/>
      <w:bookmarkEnd w:id="84"/>
      <w:bookmarkEnd w:id="85"/>
      <w:bookmarkEnd w:id="86"/>
      <w:bookmarkEnd w:id="87"/>
    </w:p>
    <w:p>
      <w:pPr>
        <w:pStyle w:val="164"/>
      </w:pPr>
      <w:r>
        <w:rPr>
          <w:rFonts w:hint="eastAsia"/>
        </w:rPr>
        <w:t>系统宜按全年综合利用</w:t>
      </w:r>
      <w:r>
        <w:rPr>
          <w:rFonts w:hint="eastAsia"/>
          <w:lang w:val="en-US" w:eastAsia="zh-CN"/>
        </w:rPr>
        <w:t>情况</w:t>
      </w:r>
      <w:r>
        <w:rPr>
          <w:rFonts w:hint="eastAsia"/>
        </w:rPr>
        <w:t>进行设计，夏季制冷，其他季节热量可用于生产生活用热水或采暖，设计寿命不</w:t>
      </w:r>
      <w:r>
        <w:rPr>
          <w:rFonts w:hint="eastAsia"/>
          <w:lang w:val="en-US" w:eastAsia="zh-CN"/>
        </w:rPr>
        <w:t>应</w:t>
      </w:r>
      <w:r>
        <w:rPr>
          <w:rFonts w:hint="eastAsia"/>
        </w:rPr>
        <w:t>低于15年。</w:t>
      </w:r>
    </w:p>
    <w:p>
      <w:pPr>
        <w:pStyle w:val="164"/>
      </w:pPr>
      <w:r>
        <w:rPr>
          <w:rFonts w:hint="eastAsia"/>
        </w:rPr>
        <w:t>系统设计应根据所处地区太阳能资源、气候特点、安装场所、使用功能、冷负荷需求和投资规模等综合因素，选择适宜的太阳能集热系统、热驱动制冷系统类型及规格。</w:t>
      </w:r>
    </w:p>
    <w:p>
      <w:pPr>
        <w:pStyle w:val="164"/>
      </w:pPr>
      <w:r>
        <w:rPr>
          <w:rFonts w:hint="eastAsia"/>
        </w:rPr>
        <w:t>系统设计应采用满足机组运行温度要求的太阳能热源，宜配置燃气加热、电加热、工业余热等辅助热源系统，在太阳能热量不足或无太阳能时提供满足制冷需求所需的热量。</w:t>
      </w:r>
    </w:p>
    <w:p>
      <w:pPr>
        <w:pStyle w:val="164"/>
      </w:pPr>
      <w:r>
        <w:rPr>
          <w:rFonts w:hint="eastAsia"/>
        </w:rPr>
        <w:t>系统应设计适宜的优化运行策略，在满足制冷需求的前提下实现最小常规能源消耗。</w:t>
      </w:r>
    </w:p>
    <w:p>
      <w:pPr>
        <w:pStyle w:val="164"/>
      </w:pPr>
      <w:r>
        <w:rPr>
          <w:rFonts w:hint="eastAsia"/>
        </w:rPr>
        <w:t>中温太阳能空调系统应采取防过热、防冻、防结垢、防雷、防雹、抗风、抗震和保证电气安全等技术措施。</w:t>
      </w:r>
    </w:p>
    <w:p>
      <w:pPr>
        <w:pStyle w:val="164"/>
      </w:pPr>
      <w:r>
        <w:rPr>
          <w:rFonts w:hint="eastAsia"/>
        </w:rPr>
        <w:t>在既有建筑物上新建或改造中温太阳能空调系统，建筑应具有建筑结构安全复核通过的相关文件，</w:t>
      </w:r>
      <w:bookmarkStart w:id="88" w:name="OLE_LINK37"/>
      <w:bookmarkStart w:id="89" w:name="OLE_LINK36"/>
      <w:r>
        <w:rPr>
          <w:rFonts w:hint="eastAsia"/>
        </w:rPr>
        <w:t>系统安装、调试及维护</w:t>
      </w:r>
      <w:bookmarkEnd w:id="88"/>
      <w:bookmarkEnd w:id="89"/>
      <w:r>
        <w:rPr>
          <w:rFonts w:hint="eastAsia"/>
        </w:rPr>
        <w:t>方法按附录</w:t>
      </w:r>
      <w:r>
        <w:t>B</w:t>
      </w:r>
      <w:r>
        <w:rPr>
          <w:rFonts w:hint="eastAsia"/>
        </w:rPr>
        <w:t>进行。</w:t>
      </w:r>
    </w:p>
    <w:p>
      <w:pPr>
        <w:pStyle w:val="164"/>
      </w:pPr>
      <w:r>
        <w:rPr>
          <w:rFonts w:hint="eastAsia"/>
        </w:rPr>
        <w:t>选择场地时，应对安装集热器场地周围受烟气、粉尘污染和建筑物的遮挡的情况进行分析。</w:t>
      </w:r>
    </w:p>
    <w:p>
      <w:pPr>
        <w:pStyle w:val="106"/>
        <w:spacing w:before="312" w:after="312"/>
      </w:pPr>
      <w:bookmarkStart w:id="90" w:name="_Toc10870"/>
      <w:bookmarkStart w:id="91" w:name="_Toc32729"/>
      <w:bookmarkStart w:id="92" w:name="_Toc178345003"/>
      <w:bookmarkStart w:id="93" w:name="_Toc178339491"/>
      <w:bookmarkStart w:id="94" w:name="_Toc171601716"/>
      <w:r>
        <w:rPr>
          <w:rFonts w:hint="eastAsia"/>
        </w:rPr>
        <w:t>系统设计</w:t>
      </w:r>
      <w:bookmarkEnd w:id="90"/>
      <w:bookmarkEnd w:id="91"/>
      <w:bookmarkEnd w:id="92"/>
      <w:bookmarkEnd w:id="93"/>
      <w:bookmarkEnd w:id="94"/>
    </w:p>
    <w:p>
      <w:pPr>
        <w:pStyle w:val="107"/>
        <w:spacing w:before="156" w:after="156"/>
      </w:pPr>
      <w:bookmarkStart w:id="95" w:name="_Toc171601717"/>
      <w:bookmarkStart w:id="96" w:name="_Toc178345004"/>
      <w:bookmarkStart w:id="97" w:name="_Toc11167"/>
      <w:bookmarkStart w:id="98" w:name="_Toc32261"/>
      <w:bookmarkStart w:id="99" w:name="_Toc178339492"/>
      <w:r>
        <w:rPr>
          <w:rFonts w:hint="eastAsia"/>
        </w:rPr>
        <w:t>中温太阳能集热系统</w:t>
      </w:r>
      <w:bookmarkEnd w:id="95"/>
      <w:bookmarkEnd w:id="96"/>
      <w:bookmarkEnd w:id="97"/>
      <w:bookmarkEnd w:id="98"/>
      <w:bookmarkEnd w:id="99"/>
    </w:p>
    <w:p>
      <w:pPr>
        <w:pStyle w:val="67"/>
        <w:spacing w:before="156" w:after="156"/>
      </w:pPr>
      <w:r>
        <w:rPr>
          <w:rFonts w:hint="eastAsia"/>
        </w:rPr>
        <w:t>气候资源评估</w:t>
      </w:r>
    </w:p>
    <w:p>
      <w:pPr>
        <w:pStyle w:val="58"/>
        <w:ind w:firstLine="420"/>
      </w:pPr>
      <w:r>
        <w:rPr>
          <w:rFonts w:hint="eastAsia"/>
        </w:rPr>
        <w:t>系统设计用气象参数应选用当地近10年的太阳总辐照量、太阳直射辐照量、环境温度、风速、风向等气象数据为计算依据，如当地气象数据缺失，可取临近站点的气象数据。山东</w:t>
      </w:r>
      <w:r>
        <w:rPr>
          <w:rFonts w:hint="eastAsia"/>
          <w:lang w:val="en-US" w:eastAsia="zh-CN"/>
        </w:rPr>
        <w:t>地区日太阳辐照量分段天数统计见</w:t>
      </w:r>
      <w:r>
        <w:rPr>
          <w:rFonts w:hint="eastAsia"/>
        </w:rPr>
        <w:t>附录C。</w:t>
      </w:r>
    </w:p>
    <w:p>
      <w:pPr>
        <w:pStyle w:val="176"/>
        <w:numPr>
          <w:ilvl w:val="0"/>
          <w:numId w:val="34"/>
        </w:numPr>
      </w:pPr>
      <w:r>
        <w:rPr>
          <w:rFonts w:hint="eastAsia"/>
        </w:rPr>
        <w:t>系统设计应对系统所在区域的太阳能资源及相关的地理条件、气候特征和基本气象要素进行适应性分析。</w:t>
      </w:r>
    </w:p>
    <w:p>
      <w:pPr>
        <w:pStyle w:val="176"/>
        <w:numPr>
          <w:ilvl w:val="0"/>
          <w:numId w:val="34"/>
        </w:numPr>
      </w:pPr>
      <w:r>
        <w:rPr>
          <w:rFonts w:hint="eastAsia"/>
        </w:rPr>
        <w:t>用于气候资源评估的数据应为连续测试记录，太阳能资源评估数据不宜少于一个完整年。</w:t>
      </w:r>
    </w:p>
    <w:p>
      <w:pPr>
        <w:pStyle w:val="67"/>
        <w:spacing w:before="156" w:after="156"/>
      </w:pPr>
      <w:r>
        <w:rPr>
          <w:rFonts w:hint="eastAsia"/>
        </w:rPr>
        <w:t>太阳能集热器选型</w:t>
      </w:r>
    </w:p>
    <w:p>
      <w:pPr>
        <w:pStyle w:val="58"/>
        <w:ind w:firstLine="420"/>
      </w:pPr>
      <w:r>
        <w:rPr>
          <w:rFonts w:hint="eastAsia"/>
        </w:rPr>
        <w:t>太阳能集热器的选型应在满足系统设计驱动温度的基础上，考虑系统投资、节能效果、运行费用和使用寿命等因素，并应能保证系统运行的安全可靠性。选型可参考表1。</w:t>
      </w:r>
    </w:p>
    <w:p>
      <w:pPr>
        <w:pStyle w:val="114"/>
        <w:spacing w:before="156" w:after="156"/>
      </w:pPr>
      <w:r>
        <w:rPr>
          <w:rFonts w:hint="eastAsia"/>
        </w:rPr>
        <w:t>不同集热器类型输出温度及其耐候特性</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874"/>
        <w:gridCol w:w="1875"/>
        <w:gridCol w:w="1875"/>
        <w:gridCol w:w="1875"/>
        <w:gridCol w:w="18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874" w:type="dxa"/>
            <w:vMerge w:val="restart"/>
            <w:tcBorders>
              <w:top w:val="single" w:color="auto" w:sz="8" w:space="0"/>
            </w:tcBorders>
            <w:shd w:val="clear" w:color="auto" w:fill="auto"/>
            <w:vAlign w:val="center"/>
          </w:tcPr>
          <w:p>
            <w:pPr>
              <w:pStyle w:val="180"/>
            </w:pPr>
            <w:r>
              <w:rPr>
                <w:rFonts w:hint="eastAsia"/>
              </w:rPr>
              <w:t>条件参数</w:t>
            </w:r>
          </w:p>
        </w:tc>
        <w:tc>
          <w:tcPr>
            <w:tcW w:w="7500" w:type="dxa"/>
            <w:gridSpan w:val="4"/>
            <w:tcBorders>
              <w:top w:val="single" w:color="auto" w:sz="8" w:space="0"/>
              <w:bottom w:val="single" w:color="auto" w:sz="8" w:space="0"/>
            </w:tcBorders>
            <w:shd w:val="clear" w:color="auto" w:fill="auto"/>
            <w:vAlign w:val="center"/>
          </w:tcPr>
          <w:p>
            <w:pPr>
              <w:pStyle w:val="180"/>
            </w:pPr>
            <w:r>
              <w:rPr>
                <w:rFonts w:hint="eastAsia"/>
              </w:rPr>
              <w:t>集热器类型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vMerge w:val="continue"/>
            <w:shd w:val="clear" w:color="auto" w:fill="auto"/>
            <w:vAlign w:val="center"/>
          </w:tcPr>
          <w:p>
            <w:pPr>
              <w:pStyle w:val="180"/>
            </w:pPr>
          </w:p>
        </w:tc>
        <w:tc>
          <w:tcPr>
            <w:tcW w:w="3750" w:type="dxa"/>
            <w:gridSpan w:val="2"/>
            <w:tcBorders>
              <w:top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非跟踪式</w:t>
            </w:r>
          </w:p>
        </w:tc>
        <w:tc>
          <w:tcPr>
            <w:tcW w:w="3750" w:type="dxa"/>
            <w:gridSpan w:val="2"/>
            <w:tcBorders>
              <w:top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跟踪式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vMerge w:val="continue"/>
            <w:shd w:val="clear" w:color="auto" w:fill="auto"/>
            <w:vAlign w:val="center"/>
          </w:tcPr>
          <w:p>
            <w:pPr>
              <w:pStyle w:val="180"/>
            </w:pP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平板型</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真空管型/热管型</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线性菲涅尔</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槽式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安装方式</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固定</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固定</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单轴跟踪</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单轴跟踪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输出温度（℃）</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2</w:t>
            </w:r>
            <w:r>
              <w:rPr>
                <w:rFonts w:ascii="宋体" w:hAnsi="宋体"/>
                <w:kern w:val="0"/>
                <w:sz w:val="18"/>
                <w:szCs w:val="18"/>
              </w:rPr>
              <w:t>0℃</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hint="eastAsia" w:ascii="宋体" w:hAnsi="宋体"/>
                <w:kern w:val="0"/>
                <w:sz w:val="18"/>
                <w:szCs w:val="18"/>
              </w:rPr>
              <w:t>≤</w:t>
            </w:r>
            <w:r>
              <w:rPr>
                <w:rFonts w:ascii="宋体" w:hAnsi="宋体"/>
                <w:kern w:val="0"/>
                <w:sz w:val="18"/>
                <w:szCs w:val="18"/>
              </w:rPr>
              <w:t>150℃</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hint="eastAsia" w:ascii="宋体" w:hAnsi="宋体"/>
                <w:kern w:val="0"/>
                <w:sz w:val="18"/>
                <w:szCs w:val="18"/>
              </w:rPr>
              <w:t>≤</w:t>
            </w:r>
            <w:r>
              <w:rPr>
                <w:rFonts w:ascii="宋体" w:hAnsi="宋体"/>
                <w:kern w:val="0"/>
                <w:sz w:val="18"/>
                <w:szCs w:val="18"/>
              </w:rPr>
              <w:t>250℃</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hint="eastAsia" w:ascii="宋体" w:hAnsi="宋体"/>
                <w:kern w:val="0"/>
                <w:sz w:val="18"/>
                <w:szCs w:val="18"/>
              </w:rPr>
              <w:t>≤</w:t>
            </w:r>
            <w:r>
              <w:rPr>
                <w:rFonts w:ascii="宋体" w:hAnsi="宋体"/>
                <w:kern w:val="0"/>
                <w:sz w:val="18"/>
                <w:szCs w:val="18"/>
              </w:rPr>
              <w:t>250℃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循环工质</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水/防冻液</w:t>
            </w:r>
            <w:r>
              <w:rPr>
                <w:rFonts w:ascii="宋体" w:hAnsi="宋体"/>
                <w:kern w:val="0"/>
                <w:sz w:val="18"/>
                <w:szCs w:val="18"/>
                <w:vertAlign w:val="superscript"/>
              </w:rPr>
              <w:t>a</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水/防冻液</w:t>
            </w:r>
            <w:r>
              <w:rPr>
                <w:rFonts w:ascii="宋体" w:hAnsi="宋体"/>
                <w:kern w:val="0"/>
                <w:sz w:val="18"/>
                <w:szCs w:val="18"/>
                <w:vertAlign w:val="superscript"/>
              </w:rPr>
              <w:t>a</w:t>
            </w:r>
            <w:r>
              <w:rPr>
                <w:rFonts w:ascii="宋体" w:hAnsi="宋体"/>
                <w:kern w:val="0"/>
                <w:sz w:val="18"/>
                <w:szCs w:val="18"/>
              </w:rPr>
              <w:t>/导热油</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水/防冻液</w:t>
            </w:r>
            <w:r>
              <w:rPr>
                <w:rFonts w:ascii="宋体" w:hAnsi="宋体"/>
                <w:kern w:val="0"/>
                <w:sz w:val="18"/>
                <w:szCs w:val="18"/>
                <w:vertAlign w:val="superscript"/>
              </w:rPr>
              <w:t>a</w:t>
            </w:r>
            <w:r>
              <w:rPr>
                <w:rFonts w:ascii="宋体" w:hAnsi="宋体"/>
                <w:kern w:val="0"/>
                <w:sz w:val="18"/>
                <w:szCs w:val="18"/>
              </w:rPr>
              <w:t>/导热油</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水/防冻液</w:t>
            </w:r>
            <w:r>
              <w:rPr>
                <w:rFonts w:ascii="宋体" w:hAnsi="宋体"/>
                <w:kern w:val="0"/>
                <w:sz w:val="18"/>
                <w:szCs w:val="18"/>
                <w:vertAlign w:val="superscript"/>
              </w:rPr>
              <w:t>a</w:t>
            </w:r>
            <w:r>
              <w:rPr>
                <w:rFonts w:ascii="宋体" w:hAnsi="宋体"/>
                <w:kern w:val="0"/>
                <w:sz w:val="18"/>
                <w:szCs w:val="18"/>
              </w:rPr>
              <w:t>/导热油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防冻方式</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防冻液</w:t>
            </w:r>
            <w:r>
              <w:rPr>
                <w:rFonts w:ascii="宋体" w:hAnsi="宋体"/>
                <w:kern w:val="0"/>
                <w:sz w:val="18"/>
                <w:szCs w:val="18"/>
                <w:vertAlign w:val="superscript"/>
              </w:rPr>
              <w:t>a</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导热油/防冻循环</w:t>
            </w:r>
          </w:p>
        </w:tc>
        <w:tc>
          <w:tcPr>
            <w:tcW w:w="18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防冻液</w:t>
            </w:r>
            <w:r>
              <w:rPr>
                <w:rFonts w:ascii="宋体" w:hAnsi="宋体"/>
                <w:sz w:val="18"/>
                <w:szCs w:val="18"/>
                <w:vertAlign w:val="superscript"/>
              </w:rPr>
              <w:t>a</w:t>
            </w:r>
            <w:r>
              <w:rPr>
                <w:rFonts w:ascii="宋体" w:hAnsi="宋体"/>
                <w:sz w:val="18"/>
                <w:szCs w:val="18"/>
              </w:rPr>
              <w:t xml:space="preserve"> /导热油/防冻循环</w:t>
            </w:r>
          </w:p>
        </w:tc>
        <w:tc>
          <w:tcPr>
            <w:tcW w:w="18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防冻液</w:t>
            </w:r>
            <w:r>
              <w:rPr>
                <w:rFonts w:ascii="宋体" w:hAnsi="宋体"/>
                <w:sz w:val="18"/>
                <w:szCs w:val="18"/>
                <w:vertAlign w:val="superscript"/>
              </w:rPr>
              <w:t>a</w:t>
            </w:r>
            <w:r>
              <w:rPr>
                <w:rFonts w:ascii="宋体" w:hAnsi="宋体"/>
                <w:sz w:val="18"/>
                <w:szCs w:val="18"/>
              </w:rPr>
              <w:t xml:space="preserve"> /导热油/防冻循环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防过热方式</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闷晒/蓄热/风冷散热</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蓄热/风冷散热</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自动控制</w:t>
            </w:r>
          </w:p>
        </w:tc>
        <w:tc>
          <w:tcPr>
            <w:tcW w:w="1875" w:type="dxa"/>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自动控制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874" w:type="dxa"/>
            <w:tcBorders>
              <w:bottom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抗风等级</w:t>
            </w:r>
          </w:p>
        </w:tc>
        <w:tc>
          <w:tcPr>
            <w:tcW w:w="1875" w:type="dxa"/>
            <w:tcBorders>
              <w:bottom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10级</w:t>
            </w:r>
          </w:p>
        </w:tc>
        <w:tc>
          <w:tcPr>
            <w:tcW w:w="1875" w:type="dxa"/>
            <w:tcBorders>
              <w:bottom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10级</w:t>
            </w:r>
          </w:p>
        </w:tc>
        <w:tc>
          <w:tcPr>
            <w:tcW w:w="1875" w:type="dxa"/>
            <w:tcBorders>
              <w:bottom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10级</w:t>
            </w:r>
          </w:p>
        </w:tc>
        <w:tc>
          <w:tcPr>
            <w:tcW w:w="1875" w:type="dxa"/>
            <w:tcBorders>
              <w:bottom w:val="single" w:color="auto" w:sz="8" w:space="0"/>
            </w:tcBorders>
            <w:shd w:val="clear" w:color="auto" w:fill="auto"/>
            <w:vAlign w:val="center"/>
          </w:tcPr>
          <w:p>
            <w:pPr>
              <w:widowControl/>
              <w:tabs>
                <w:tab w:val="center" w:pos="4201"/>
                <w:tab w:val="right" w:leader="dot" w:pos="9298"/>
              </w:tabs>
              <w:autoSpaceDE w:val="0"/>
              <w:autoSpaceDN w:val="0"/>
              <w:snapToGrid w:val="0"/>
              <w:spacing w:line="240" w:lineRule="auto"/>
              <w:jc w:val="center"/>
              <w:rPr>
                <w:rFonts w:ascii="宋体" w:hAnsi="宋体"/>
                <w:kern w:val="0"/>
                <w:sz w:val="18"/>
                <w:szCs w:val="18"/>
              </w:rPr>
            </w:pPr>
            <w:r>
              <w:rPr>
                <w:rFonts w:ascii="宋体" w:hAnsi="宋体"/>
                <w:kern w:val="0"/>
                <w:sz w:val="18"/>
                <w:szCs w:val="18"/>
              </w:rPr>
              <w:t>10级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5"/>
            <w:tcBorders>
              <w:top w:val="single" w:color="auto" w:sz="8" w:space="0"/>
              <w:bottom w:val="single" w:color="auto" w:sz="8" w:space="0"/>
            </w:tcBorders>
            <w:shd w:val="clear" w:color="auto" w:fill="auto"/>
            <w:vAlign w:val="center"/>
          </w:tcPr>
          <w:p>
            <w:pPr>
              <w:pStyle w:val="103"/>
            </w:pPr>
            <w:r>
              <w:rPr>
                <w:rFonts w:hint="eastAsia"/>
              </w:rPr>
              <w:t>防冻液应选择满足当地历史最低温度的冰点；防冻液应选择耐温能够满足集热器最高闷晒温度的产品；菲涅尔式和槽式系统使用防冻液时宜通过自动控制方式避免防冻液超过其最高耐受温度以防变质；选用防冻液的系统应为闭式系统。</w:t>
            </w:r>
          </w:p>
        </w:tc>
      </w:tr>
    </w:tbl>
    <w:p>
      <w:pPr>
        <w:pStyle w:val="67"/>
        <w:spacing w:before="156" w:after="156"/>
      </w:pPr>
      <w:r>
        <w:rPr>
          <w:rFonts w:hint="eastAsia"/>
        </w:rPr>
        <w:t>热负荷计算</w:t>
      </w:r>
    </w:p>
    <w:p>
      <w:pPr>
        <w:pStyle w:val="58"/>
        <w:ind w:firstLine="420"/>
      </w:pPr>
      <w:r>
        <w:rPr>
          <w:rFonts w:hint="eastAsia"/>
        </w:rPr>
        <w:t>中温太阳能集热系统热负荷按公式（1）计算：</w:t>
      </w:r>
    </w:p>
    <w:p>
      <w:pPr>
        <w:pStyle w:val="115"/>
      </w:pPr>
      <w:r>
        <w:tab/>
      </w:r>
      <w:r>
        <w:rPr>
          <w:rFonts w:hint="eastAsia" w:eastAsiaTheme="minorEastAsia"/>
          <w:position w:val="-24"/>
        </w:rPr>
        <w:object>
          <v:shape id="_x0000_i1025" o:spt="75" type="#_x0000_t75" style="height:31.15pt;width:63.75pt;" o:ole="t" filled="f" o:preferrelative="t" stroked="f" coordsize="21600,21600">
            <v:path/>
            <v:fill on="f" focussize="0,0"/>
            <v:stroke on="f" joinstyle="miter"/>
            <v:imagedata r:id="rId45" o:title=""/>
            <o:lock v:ext="edit" aspectratio="t"/>
            <w10:wrap type="none"/>
            <w10:anchorlock/>
          </v:shape>
          <o:OLEObject Type="Embed" ProgID="Equation.3" ShapeID="_x0000_i1025" DrawAspect="Content" ObjectID="_1468075725" r:id="rId44">
            <o:LockedField>false</o:LockedField>
          </o:OLEObject>
        </w:object>
      </w:r>
      <w:r>
        <w:rPr>
          <w:rFonts w:ascii="微软雅黑" w:hAnsi="微软雅黑" w:eastAsia="微软雅黑"/>
        </w:rPr>
        <w:tab/>
      </w:r>
      <w:r>
        <w:t>(</w:t>
      </w:r>
      <w:r>
        <w:fldChar w:fldCharType="begin"/>
      </w:r>
      <w:r>
        <w:instrText xml:space="preserve"> AUTONUM </w:instrText>
      </w:r>
      <w:r>
        <w:fldChar w:fldCharType="end"/>
      </w:r>
      <w: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kern w:val="0"/>
          <w:szCs w:val="20"/>
        </w:rPr>
        <w:t>式中：</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kern w:val="0"/>
          <w:szCs w:val="20"/>
        </w:rPr>
        <w:t>Q</w:t>
      </w:r>
      <w:r>
        <w:rPr>
          <w:rFonts w:hint="eastAsia" w:ascii="宋体" w:hAnsi="宋体"/>
          <w:i/>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系统日均用热量，</w:t>
      </w:r>
      <w:r>
        <w:rPr>
          <w:rFonts w:hint="eastAsia" w:ascii="宋体" w:hAnsi="宋体"/>
          <w:kern w:val="0"/>
          <w:szCs w:val="20"/>
        </w:rPr>
        <w:t>单位为兆焦（</w:t>
      </w:r>
      <w:r>
        <w:rPr>
          <w:rFonts w:ascii="宋体" w:hAnsi="宋体"/>
          <w:kern w:val="0"/>
          <w:szCs w:val="20"/>
        </w:rPr>
        <w:t>MJ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kern w:val="0"/>
          <w:szCs w:val="20"/>
        </w:rPr>
        <w:t>P</w:t>
      </w:r>
      <w:r>
        <w:rPr>
          <w:rFonts w:hint="eastAsia" w:ascii="宋体" w:hAnsi="宋体"/>
          <w:i/>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系统制冷功率，</w:t>
      </w:r>
      <w:r>
        <w:rPr>
          <w:rFonts w:hint="eastAsia" w:ascii="宋体" w:hAnsi="宋体"/>
          <w:kern w:val="0"/>
          <w:szCs w:val="20"/>
        </w:rPr>
        <w:t>单位为千瓦（</w:t>
      </w:r>
      <w:r>
        <w:rPr>
          <w:rFonts w:ascii="宋体" w:hAnsi="宋体"/>
          <w:kern w:val="0"/>
          <w:szCs w:val="20"/>
        </w:rPr>
        <w:t>kW</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kern w:val="0"/>
          <w:szCs w:val="20"/>
        </w:rPr>
        <w:t>t</w:t>
      </w:r>
      <w:r>
        <w:rPr>
          <w:rFonts w:hint="eastAsia" w:ascii="宋体" w:hAnsi="宋体"/>
          <w:i/>
          <w:kern w:val="0"/>
          <w:szCs w:val="20"/>
        </w:rPr>
        <w:t>—</w:t>
      </w:r>
      <w:r>
        <w:rPr>
          <w:rFonts w:ascii="宋体" w:hAnsi="宋体"/>
          <w:kern w:val="0"/>
          <w:szCs w:val="20"/>
        </w:rPr>
        <w:t>制冷机组日均工作时间，</w:t>
      </w:r>
      <w:r>
        <w:rPr>
          <w:rFonts w:hint="eastAsia" w:ascii="宋体" w:hAnsi="宋体"/>
          <w:kern w:val="0"/>
          <w:szCs w:val="20"/>
        </w:rPr>
        <w:t>单位为小时（</w:t>
      </w:r>
      <w:r>
        <w:rPr>
          <w:rFonts w:ascii="宋体" w:hAnsi="宋体"/>
          <w:kern w:val="0"/>
          <w:szCs w:val="20"/>
        </w:rPr>
        <w:t>h</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Times New Roman" w:hAnsi="Times New Roman" w:eastAsia="黑体"/>
          <w:kern w:val="0"/>
          <w:szCs w:val="20"/>
        </w:rPr>
      </w:pPr>
      <w:r>
        <w:rPr>
          <w:rFonts w:ascii="宋体" w:hAnsi="宋体"/>
          <w:kern w:val="0"/>
          <w:szCs w:val="20"/>
        </w:rPr>
        <w:t>COP</w:t>
      </w:r>
      <w:r>
        <w:rPr>
          <w:rFonts w:hint="eastAsia" w:ascii="宋体" w:hAnsi="宋体"/>
          <w:i/>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系统制冷</w:t>
      </w:r>
      <w:r>
        <w:rPr>
          <w:rFonts w:hint="eastAsia" w:ascii="宋体" w:hAnsi="宋体"/>
          <w:kern w:val="0"/>
          <w:szCs w:val="20"/>
        </w:rPr>
        <w:t>机组</w:t>
      </w:r>
      <w:r>
        <w:rPr>
          <w:rFonts w:ascii="宋体" w:hAnsi="宋体"/>
          <w:kern w:val="0"/>
          <w:szCs w:val="20"/>
        </w:rPr>
        <w:t>性能系数</w:t>
      </w:r>
      <w:r>
        <w:rPr>
          <w:rFonts w:ascii="Times New Roman" w:hAnsi="Times New Roman" w:eastAsia="黑体"/>
          <w:kern w:val="0"/>
          <w:szCs w:val="20"/>
        </w:rPr>
        <w:t>。</w:t>
      </w:r>
    </w:p>
    <w:p>
      <w:pPr>
        <w:pStyle w:val="67"/>
        <w:spacing w:before="156" w:after="156"/>
      </w:pPr>
      <w:r>
        <w:rPr>
          <w:rFonts w:hint="eastAsia"/>
        </w:rPr>
        <w:t>集热系统面积计算</w:t>
      </w:r>
    </w:p>
    <w:p>
      <w:pPr>
        <w:pStyle w:val="58"/>
        <w:ind w:firstLine="420"/>
      </w:pPr>
      <w:r>
        <w:rPr>
          <w:rFonts w:hint="eastAsia"/>
        </w:rPr>
        <w:t>应根据太阳能集热系统跟踪方式、换热方式的不同，分别计算集热系统面积。</w:t>
      </w:r>
    </w:p>
    <w:p>
      <w:pPr>
        <w:pStyle w:val="176"/>
        <w:numPr>
          <w:ilvl w:val="0"/>
          <w:numId w:val="0"/>
        </w:numPr>
        <w:autoSpaceDE w:val="0"/>
        <w:autoSpaceDN w:val="0"/>
        <w:snapToGrid w:val="0"/>
        <w:spacing w:line="360" w:lineRule="auto"/>
        <w:ind w:firstLine="420" w:firstLineChars="200"/>
        <w:rPr>
          <w:rFonts w:hAnsi="宋体"/>
        </w:rPr>
      </w:pPr>
      <w:r>
        <w:rPr>
          <w:rFonts w:hint="eastAsia" w:hAnsi="宋体"/>
          <w:lang w:val="en-US" w:eastAsia="zh-CN"/>
        </w:rPr>
        <w:t>a)</w:t>
      </w:r>
      <w:r>
        <w:rPr>
          <w:rFonts w:hAnsi="宋体"/>
        </w:rPr>
        <w:t>非跟踪式直接系统集热器总面积</w:t>
      </w:r>
      <w:r>
        <w:rPr>
          <w:rFonts w:hint="eastAsia" w:hAnsi="宋体"/>
        </w:rPr>
        <w:t>，</w:t>
      </w:r>
      <w:r>
        <w:rPr>
          <w:rFonts w:hAnsi="宋体"/>
        </w:rPr>
        <w:t>根据用户的日均用热量确定，按</w:t>
      </w:r>
      <w:r>
        <w:rPr>
          <w:rFonts w:hint="eastAsia" w:hAnsi="宋体"/>
        </w:rPr>
        <w:t>公式（2）</w:t>
      </w:r>
      <w:r>
        <w:rPr>
          <w:rFonts w:hAnsi="宋体"/>
        </w:rPr>
        <w:t>估算：</w:t>
      </w:r>
    </w:p>
    <w:p>
      <w:pPr>
        <w:pStyle w:val="115"/>
      </w:pPr>
      <w:r>
        <w:tab/>
      </w:r>
      <w:r>
        <w:rPr>
          <w:position w:val="-30"/>
        </w:rPr>
        <w:object>
          <v:shape id="_x0000_i1026" o:spt="75" type="#_x0000_t75" style="height:34.5pt;width:100.5pt;" o:ole="t" filled="f" o:preferrelative="t" stroked="f" coordsize="21600,21600">
            <v:path/>
            <v:fill on="f" focussize="0,0"/>
            <v:stroke on="f" joinstyle="miter"/>
            <v:imagedata r:id="rId47" o:title=""/>
            <o:lock v:ext="edit" aspectratio="t"/>
            <w10:wrap type="none"/>
            <w10:anchorlock/>
          </v:shape>
          <o:OLEObject Type="Embed" ProgID="Equation.DSMT4" ShapeID="_x0000_i1026" DrawAspect="Content" ObjectID="_1468075726" r:id="rId46">
            <o:LockedField>false</o:LockedField>
          </o:OLEObject>
        </w:object>
      </w:r>
      <w:r>
        <w:rPr>
          <w:rFonts w:ascii="微软雅黑" w:hAnsi="微软雅黑" w:eastAsia="微软雅黑"/>
        </w:rPr>
        <w:tab/>
      </w:r>
      <w:r>
        <w:t>(</w:t>
      </w:r>
      <w:r>
        <w:rPr>
          <w:rFonts w:hint="eastAsia"/>
        </w:rPr>
        <w:t>2</w:t>
      </w:r>
      <w:r>
        <w:t>)</w:t>
      </w:r>
    </w:p>
    <w:p>
      <w:pPr>
        <w:widowControl/>
        <w:tabs>
          <w:tab w:val="center" w:pos="4201"/>
          <w:tab w:val="right" w:leader="dot" w:pos="9298"/>
        </w:tabs>
        <w:autoSpaceDE w:val="0"/>
        <w:autoSpaceDN w:val="0"/>
        <w:adjustRightInd/>
        <w:snapToGrid w:val="0"/>
        <w:spacing w:line="240" w:lineRule="auto"/>
        <w:ind w:left="1680" w:leftChars="400" w:hanging="840" w:hangingChars="400"/>
        <w:rPr>
          <w:rFonts w:ascii="宋体" w:hAnsi="宋体"/>
          <w:kern w:val="0"/>
          <w:szCs w:val="20"/>
        </w:rPr>
      </w:pPr>
      <w:r>
        <w:rPr>
          <w:rFonts w:ascii="宋体" w:hAnsi="宋体"/>
          <w:kern w:val="0"/>
          <w:szCs w:val="20"/>
        </w:rPr>
        <w:t>式中：</w:t>
      </w:r>
    </w:p>
    <w:p>
      <w:pPr>
        <w:widowControl/>
        <w:tabs>
          <w:tab w:val="center" w:pos="4201"/>
          <w:tab w:val="right" w:leader="dot" w:pos="9298"/>
        </w:tabs>
        <w:autoSpaceDE w:val="0"/>
        <w:autoSpaceDN w:val="0"/>
        <w:adjustRightInd/>
        <w:snapToGrid w:val="0"/>
        <w:spacing w:line="240" w:lineRule="auto"/>
        <w:ind w:left="1680" w:leftChars="400" w:hanging="840" w:hangingChars="400"/>
        <w:rPr>
          <w:rFonts w:ascii="宋体" w:hAnsi="宋体"/>
          <w:kern w:val="0"/>
          <w:szCs w:val="20"/>
        </w:rPr>
      </w:pPr>
      <w:r>
        <w:rPr>
          <w:rFonts w:ascii="宋体" w:hAnsi="宋体"/>
          <w:i/>
          <w:kern w:val="0"/>
          <w:szCs w:val="20"/>
        </w:rPr>
        <w:t>A</w:t>
      </w:r>
      <w:r>
        <w:rPr>
          <w:rFonts w:ascii="宋体" w:hAnsi="宋体"/>
          <w:kern w:val="0"/>
          <w:szCs w:val="20"/>
          <w:vertAlign w:val="subscript"/>
        </w:rPr>
        <w:t>c</w:t>
      </w:r>
      <w:r>
        <w:rPr>
          <w:rFonts w:hint="eastAsia" w:ascii="宋体" w:hAnsi="宋体"/>
          <w:kern w:val="0"/>
          <w:szCs w:val="20"/>
        </w:rPr>
        <w:t>—</w:t>
      </w:r>
      <w:r>
        <w:rPr>
          <w:rFonts w:ascii="宋体" w:hAnsi="宋体"/>
          <w:kern w:val="0"/>
          <w:szCs w:val="20"/>
        </w:rPr>
        <w:t>直接式系统集热器总面积，</w:t>
      </w:r>
      <w:r>
        <w:rPr>
          <w:rFonts w:hint="eastAsia" w:ascii="宋体" w:hAnsi="宋体"/>
          <w:kern w:val="0"/>
          <w:szCs w:val="20"/>
        </w:rPr>
        <w:t>单位为平方米（</w:t>
      </w:r>
      <w:r>
        <w:rPr>
          <w:rFonts w:ascii="宋体" w:hAnsi="宋体"/>
          <w:kern w:val="0"/>
          <w:szCs w:val="20"/>
        </w:rPr>
        <w:t>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365" w:leftChars="400" w:hanging="525" w:hangingChars="250"/>
        <w:rPr>
          <w:rFonts w:ascii="宋体" w:hAnsi="宋体"/>
          <w:iCs/>
          <w:kern w:val="0"/>
          <w:szCs w:val="20"/>
        </w:rPr>
      </w:pPr>
      <w:r>
        <w:rPr>
          <w:rFonts w:ascii="宋体" w:hAnsi="宋体"/>
          <w:iCs/>
          <w:kern w:val="0"/>
          <w:szCs w:val="20"/>
        </w:rPr>
        <w:t>f</w:t>
      </w:r>
      <w:r>
        <w:rPr>
          <w:rFonts w:hint="eastAsia" w:ascii="宋体" w:hAnsi="宋体"/>
          <w:iCs/>
          <w:kern w:val="0"/>
          <w:szCs w:val="20"/>
        </w:rPr>
        <w:t>—</w:t>
      </w:r>
      <w:r>
        <w:rPr>
          <w:rFonts w:ascii="宋体" w:hAnsi="宋体"/>
          <w:iCs/>
          <w:kern w:val="0"/>
          <w:szCs w:val="20"/>
        </w:rPr>
        <w:t>太阳能保证率，无量纲，根据系统使用期内的太阳辐照、系统经济性及用户要求等因素综合考虑后确定，一般</w:t>
      </w:r>
      <w:r>
        <w:rPr>
          <w:rFonts w:hint="eastAsia" w:ascii="宋体" w:hAnsi="宋体"/>
          <w:iCs/>
          <w:kern w:val="0"/>
          <w:szCs w:val="20"/>
        </w:rPr>
        <w:t>取</w:t>
      </w:r>
      <w:r>
        <w:rPr>
          <w:rFonts w:ascii="宋体" w:hAnsi="宋体"/>
          <w:iCs/>
          <w:kern w:val="0"/>
          <w:szCs w:val="20"/>
        </w:rPr>
        <w:t>0.30～0.80；</w:t>
      </w:r>
      <w:r>
        <w:rPr>
          <w:rFonts w:hint="eastAsia" w:ascii="宋体" w:hAnsi="宋体"/>
          <w:iCs/>
          <w:kern w:val="0"/>
          <w:szCs w:val="20"/>
        </w:rPr>
        <w:t>山东地区日太阳辐照量分段天数统计见附录C表C.1所示。</w:t>
      </w:r>
    </w:p>
    <w:p>
      <w:pPr>
        <w:widowControl/>
        <w:tabs>
          <w:tab w:val="center" w:pos="4201"/>
          <w:tab w:val="right" w:leader="dot" w:pos="9298"/>
        </w:tabs>
        <w:autoSpaceDE w:val="0"/>
        <w:autoSpaceDN w:val="0"/>
        <w:adjustRightInd/>
        <w:snapToGrid w:val="0"/>
        <w:spacing w:line="240" w:lineRule="auto"/>
        <w:ind w:left="1680" w:leftChars="400" w:hanging="840" w:hangingChars="400"/>
        <w:rPr>
          <w:rFonts w:ascii="宋体" w:hAnsi="宋体"/>
          <w:kern w:val="0"/>
          <w:szCs w:val="20"/>
        </w:rPr>
      </w:pPr>
      <w:r>
        <w:rPr>
          <w:rFonts w:ascii="宋体" w:hAnsi="宋体"/>
          <w:i/>
          <w:kern w:val="0"/>
          <w:szCs w:val="20"/>
        </w:rPr>
        <w:t>J</w:t>
      </w:r>
      <w:r>
        <w:rPr>
          <w:rFonts w:ascii="宋体" w:hAnsi="宋体"/>
          <w:kern w:val="0"/>
          <w:szCs w:val="20"/>
          <w:vertAlign w:val="subscript"/>
        </w:rPr>
        <w:t>c</w:t>
      </w:r>
      <w:r>
        <w:rPr>
          <w:rFonts w:hint="eastAsia" w:ascii="宋体" w:hAnsi="宋体"/>
          <w:kern w:val="0"/>
          <w:szCs w:val="20"/>
        </w:rPr>
        <w:t>—</w:t>
      </w:r>
      <w:r>
        <w:rPr>
          <w:rFonts w:ascii="宋体" w:hAnsi="宋体"/>
          <w:kern w:val="0"/>
          <w:szCs w:val="20"/>
        </w:rPr>
        <w:t>当地集热器安装倾斜角表面上的月均日太阳总辐照量，</w:t>
      </w:r>
      <w:r>
        <w:rPr>
          <w:rFonts w:hint="eastAsia" w:ascii="宋体" w:hAnsi="宋体"/>
          <w:kern w:val="0"/>
          <w:szCs w:val="20"/>
        </w:rPr>
        <w:t>单位为兆焦每平方米（</w:t>
      </w:r>
      <w:r>
        <w:rPr>
          <w:rFonts w:ascii="宋体" w:hAnsi="宋体"/>
          <w:kern w:val="0"/>
          <w:szCs w:val="20"/>
        </w:rPr>
        <w:t>MJ/m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680" w:leftChars="400" w:hanging="840" w:hangingChars="400"/>
        <w:rPr>
          <w:rFonts w:ascii="宋体" w:hAnsi="宋体"/>
          <w:kern w:val="0"/>
          <w:szCs w:val="20"/>
        </w:rPr>
      </w:pPr>
      <w:r>
        <w:rPr>
          <w:rFonts w:ascii="宋体" w:hAnsi="宋体"/>
          <w:i/>
          <w:kern w:val="0"/>
          <w:szCs w:val="20"/>
        </w:rPr>
        <w:t>η</w:t>
      </w:r>
      <w:r>
        <w:rPr>
          <w:rFonts w:ascii="宋体" w:hAnsi="宋体"/>
          <w:kern w:val="0"/>
          <w:szCs w:val="20"/>
          <w:vertAlign w:val="subscript"/>
        </w:rPr>
        <w:t>cd</w:t>
      </w:r>
      <w:r>
        <w:rPr>
          <w:rFonts w:hint="eastAsia" w:ascii="宋体" w:hAnsi="宋体"/>
          <w:kern w:val="0"/>
          <w:szCs w:val="20"/>
        </w:rPr>
        <w:t>—</w:t>
      </w:r>
      <w:r>
        <w:rPr>
          <w:rFonts w:ascii="宋体" w:hAnsi="宋体"/>
          <w:kern w:val="0"/>
          <w:szCs w:val="20"/>
        </w:rPr>
        <w:t>集热器年或月平均集热效率，无量纲，具体取值可根据集热器产品的实际测试结果取值；</w:t>
      </w:r>
    </w:p>
    <w:p>
      <w:pPr>
        <w:widowControl/>
        <w:tabs>
          <w:tab w:val="center" w:pos="4201"/>
          <w:tab w:val="right" w:leader="dot" w:pos="9298"/>
        </w:tabs>
        <w:autoSpaceDE w:val="0"/>
        <w:autoSpaceDN w:val="0"/>
        <w:adjustRightInd/>
        <w:snapToGrid w:val="0"/>
        <w:spacing w:line="240" w:lineRule="auto"/>
        <w:ind w:left="1680" w:leftChars="400" w:hanging="840" w:hangingChars="400"/>
        <w:rPr>
          <w:rFonts w:ascii="宋体" w:hAnsi="宋体"/>
          <w:kern w:val="0"/>
          <w:szCs w:val="20"/>
        </w:rPr>
      </w:pPr>
      <w:r>
        <w:rPr>
          <w:rFonts w:ascii="宋体" w:hAnsi="宋体"/>
          <w:i/>
          <w:kern w:val="0"/>
          <w:szCs w:val="20"/>
        </w:rPr>
        <w:t>η</w:t>
      </w:r>
      <w:r>
        <w:rPr>
          <w:rFonts w:ascii="宋体" w:hAnsi="宋体"/>
          <w:kern w:val="0"/>
          <w:szCs w:val="20"/>
          <w:vertAlign w:val="subscript"/>
        </w:rPr>
        <w:t>L</w:t>
      </w:r>
      <w:r>
        <w:rPr>
          <w:rFonts w:hint="eastAsia" w:ascii="宋体" w:hAnsi="宋体"/>
          <w:kern w:val="0"/>
          <w:szCs w:val="20"/>
        </w:rPr>
        <w:t>—</w:t>
      </w:r>
      <w:r>
        <w:rPr>
          <w:rFonts w:ascii="宋体" w:hAnsi="宋体"/>
          <w:kern w:val="0"/>
          <w:szCs w:val="20"/>
        </w:rPr>
        <w:t>管路及蓄热装置热损失率，无量纲，根据经验值取0.</w:t>
      </w:r>
      <w:r>
        <w:rPr>
          <w:rFonts w:hint="eastAsia" w:ascii="宋体" w:hAnsi="宋体"/>
          <w:kern w:val="0"/>
          <w:szCs w:val="20"/>
        </w:rPr>
        <w:t>20</w:t>
      </w:r>
      <w:r>
        <w:rPr>
          <w:rFonts w:ascii="宋体" w:hAnsi="宋体"/>
          <w:kern w:val="0"/>
          <w:szCs w:val="20"/>
        </w:rPr>
        <w:t>～0.</w:t>
      </w:r>
      <w:r>
        <w:rPr>
          <w:rFonts w:hint="eastAsia" w:ascii="宋体" w:hAnsi="宋体"/>
          <w:kern w:val="0"/>
          <w:szCs w:val="20"/>
        </w:rPr>
        <w:t>30</w:t>
      </w:r>
      <w:r>
        <w:rPr>
          <w:rFonts w:ascii="宋体" w:hAnsi="宋体"/>
          <w:kern w:val="0"/>
          <w:szCs w:val="20"/>
        </w:rPr>
        <w:t>。</w:t>
      </w:r>
    </w:p>
    <w:p>
      <w:pPr>
        <w:pStyle w:val="176"/>
        <w:numPr>
          <w:ilvl w:val="0"/>
          <w:numId w:val="0"/>
        </w:numPr>
        <w:autoSpaceDE w:val="0"/>
        <w:autoSpaceDN w:val="0"/>
        <w:snapToGrid w:val="0"/>
        <w:spacing w:line="360" w:lineRule="auto"/>
        <w:ind w:leftChars="400"/>
        <w:rPr>
          <w:rFonts w:hAnsi="宋体"/>
        </w:rPr>
      </w:pPr>
      <w:r>
        <w:rPr>
          <w:rFonts w:hint="eastAsia" w:hAnsi="宋体"/>
          <w:lang w:val="en-US" w:eastAsia="zh-CN"/>
        </w:rPr>
        <w:t>b)</w:t>
      </w:r>
      <w:r>
        <w:rPr>
          <w:rFonts w:hAnsi="宋体"/>
        </w:rPr>
        <w:t>间接系统集热器总面积</w:t>
      </w:r>
      <w:r>
        <w:rPr>
          <w:rFonts w:hint="eastAsia" w:hAnsi="宋体"/>
        </w:rPr>
        <w:t>，</w:t>
      </w:r>
      <w:r>
        <w:rPr>
          <w:rFonts w:hAnsi="宋体"/>
        </w:rPr>
        <w:t>按</w:t>
      </w:r>
      <w:r>
        <w:rPr>
          <w:rFonts w:hint="eastAsia" w:hAnsi="宋体"/>
        </w:rPr>
        <w:t>公式</w:t>
      </w:r>
      <w:r>
        <w:rPr>
          <w:rFonts w:hAnsi="宋体"/>
        </w:rPr>
        <w:t>（3）估算：</w:t>
      </w:r>
    </w:p>
    <w:p>
      <w:pPr>
        <w:pStyle w:val="115"/>
      </w:pPr>
      <w:r>
        <w:tab/>
      </w:r>
      <w:r>
        <w:rPr>
          <w:position w:val="-30"/>
        </w:rPr>
        <w:object>
          <v:shape id="_x0000_i1027" o:spt="75" type="#_x0000_t75" style="height:34.5pt;width:106.5pt;" o:ole="t" filled="f" o:preferrelative="t" stroked="f" coordsize="21600,21600">
            <v:path/>
            <v:fill on="f" focussize="0,0"/>
            <v:stroke on="f" joinstyle="miter"/>
            <v:imagedata r:id="rId49" o:title=""/>
            <o:lock v:ext="edit" aspectratio="t"/>
            <w10:wrap type="none"/>
            <w10:anchorlock/>
          </v:shape>
          <o:OLEObject Type="Embed" ProgID="Equation.DSMT4" ShapeID="_x0000_i1027" DrawAspect="Content" ObjectID="_1468075727" r:id="rId48">
            <o:LockedField>false</o:LockedField>
          </o:OLEObject>
        </w:object>
      </w:r>
      <w:r>
        <w:rPr>
          <w:rFonts w:ascii="微软雅黑" w:hAnsi="微软雅黑" w:eastAsia="微软雅黑"/>
        </w:rPr>
        <w:tab/>
      </w:r>
      <w:r>
        <w:t>(</w:t>
      </w:r>
      <w:r>
        <w:rPr>
          <w:rFonts w:hint="eastAsia"/>
        </w:rPr>
        <w:t>3</w:t>
      </w:r>
      <w: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式中：</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A</w:t>
      </w:r>
      <w:r>
        <w:rPr>
          <w:rFonts w:ascii="宋体" w:hAnsi="宋体"/>
          <w:kern w:val="0"/>
          <w:szCs w:val="20"/>
          <w:vertAlign w:val="subscript"/>
        </w:rPr>
        <w:t>IN</w:t>
      </w:r>
      <w:r>
        <w:rPr>
          <w:rFonts w:hint="eastAsia" w:ascii="宋体" w:hAnsi="宋体"/>
          <w:kern w:val="0"/>
          <w:szCs w:val="20"/>
        </w:rPr>
        <w:t>—</w:t>
      </w:r>
      <w:r>
        <w:rPr>
          <w:rFonts w:ascii="宋体" w:hAnsi="宋体"/>
          <w:kern w:val="0"/>
          <w:szCs w:val="20"/>
        </w:rPr>
        <w:t>非跟踪式间接系统集热器总面积，</w:t>
      </w:r>
      <w:r>
        <w:rPr>
          <w:rFonts w:hint="eastAsia" w:ascii="宋体" w:hAnsi="宋体"/>
          <w:kern w:val="0"/>
          <w:szCs w:val="20"/>
        </w:rPr>
        <w:t>单位为平方米（</w:t>
      </w:r>
      <w:r>
        <w:rPr>
          <w:rFonts w:ascii="宋体" w:hAnsi="宋体"/>
          <w:kern w:val="0"/>
          <w:szCs w:val="20"/>
        </w:rPr>
        <w:t>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A</w:t>
      </w:r>
      <w:r>
        <w:rPr>
          <w:rFonts w:ascii="宋体" w:hAnsi="宋体"/>
          <w:kern w:val="0"/>
          <w:szCs w:val="20"/>
          <w:vertAlign w:val="subscript"/>
        </w:rPr>
        <w:t>c</w:t>
      </w:r>
      <w:r>
        <w:rPr>
          <w:rFonts w:hint="eastAsia" w:ascii="宋体" w:hAnsi="宋体"/>
          <w:kern w:val="0"/>
          <w:szCs w:val="20"/>
        </w:rPr>
        <w:t>—</w:t>
      </w:r>
      <w:r>
        <w:rPr>
          <w:rFonts w:ascii="宋体" w:hAnsi="宋体"/>
          <w:kern w:val="0"/>
          <w:szCs w:val="20"/>
        </w:rPr>
        <w:t>非跟踪直接系统集热器总面积，</w:t>
      </w:r>
      <w:r>
        <w:rPr>
          <w:rFonts w:hint="eastAsia" w:ascii="宋体" w:hAnsi="宋体"/>
          <w:kern w:val="0"/>
          <w:szCs w:val="20"/>
        </w:rPr>
        <w:t>单位为平方米（</w:t>
      </w:r>
      <w:r>
        <w:rPr>
          <w:rFonts w:ascii="宋体" w:hAnsi="宋体"/>
          <w:kern w:val="0"/>
          <w:szCs w:val="20"/>
        </w:rPr>
        <w:t>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U</w:t>
      </w:r>
      <w:r>
        <w:rPr>
          <w:rFonts w:ascii="宋体" w:hAnsi="宋体"/>
          <w:kern w:val="0"/>
          <w:szCs w:val="20"/>
          <w:vertAlign w:val="subscript"/>
        </w:rPr>
        <w:t>L</w:t>
      </w:r>
      <w:r>
        <w:rPr>
          <w:rFonts w:hint="eastAsia" w:ascii="宋体" w:hAnsi="宋体"/>
          <w:kern w:val="0"/>
          <w:szCs w:val="20"/>
        </w:rPr>
        <w:t>—</w:t>
      </w:r>
      <w:r>
        <w:rPr>
          <w:rFonts w:ascii="宋体" w:hAnsi="宋体"/>
          <w:kern w:val="0"/>
          <w:szCs w:val="20"/>
        </w:rPr>
        <w:t>集热器总热损系数，</w:t>
      </w:r>
      <w:r>
        <w:rPr>
          <w:rFonts w:hint="eastAsia" w:ascii="宋体" w:hAnsi="宋体"/>
          <w:kern w:val="0"/>
          <w:szCs w:val="20"/>
        </w:rPr>
        <w:t>单位为瓦每平方米摄氏度[</w:t>
      </w:r>
      <w:r>
        <w:rPr>
          <w:rFonts w:ascii="宋体" w:hAnsi="宋体"/>
          <w:kern w:val="0"/>
          <w:szCs w:val="20"/>
        </w:rPr>
        <w:t>W/(m</w:t>
      </w:r>
      <w:r>
        <w:rPr>
          <w:rFonts w:ascii="宋体" w:hAnsi="宋体"/>
          <w:kern w:val="0"/>
          <w:szCs w:val="20"/>
          <w:vertAlign w:val="superscript"/>
        </w:rPr>
        <w:t>2</w:t>
      </w:r>
      <w:r>
        <w:rPr>
          <w:rFonts w:ascii="宋体" w:hAnsi="宋体"/>
          <w:kern w:val="0"/>
          <w:szCs w:val="20"/>
        </w:rPr>
        <w:t>·℃)</w:t>
      </w:r>
      <w:r>
        <w:rPr>
          <w:rFonts w:hint="eastAsia" w:ascii="宋体" w:hAnsi="宋体"/>
          <w:kern w:val="0"/>
          <w:szCs w:val="20"/>
        </w:rPr>
        <w:t>]</w:t>
      </w:r>
      <w:r>
        <w:rPr>
          <w:rFonts w:ascii="宋体" w:hAnsi="宋体"/>
          <w:kern w:val="0"/>
          <w:szCs w:val="20"/>
        </w:rPr>
        <w:t xml:space="preserve">； </w:t>
      </w:r>
    </w:p>
    <w:p>
      <w:pPr>
        <w:widowControl/>
        <w:tabs>
          <w:tab w:val="center" w:pos="4201"/>
          <w:tab w:val="right" w:leader="dot" w:pos="9298"/>
        </w:tabs>
        <w:autoSpaceDE w:val="0"/>
        <w:autoSpaceDN w:val="0"/>
        <w:adjustRightInd/>
        <w:snapToGrid w:val="0"/>
        <w:spacing w:line="240" w:lineRule="auto"/>
        <w:ind w:left="1365" w:leftChars="400" w:hanging="525" w:hangingChars="250"/>
        <w:rPr>
          <w:rFonts w:ascii="宋体" w:hAnsi="宋体"/>
          <w:kern w:val="0"/>
          <w:szCs w:val="20"/>
        </w:rPr>
      </w:pPr>
      <w:r>
        <w:rPr>
          <w:rFonts w:ascii="宋体" w:hAnsi="宋体"/>
          <w:i/>
          <w:kern w:val="0"/>
          <w:szCs w:val="20"/>
        </w:rPr>
        <w:t>U</w:t>
      </w:r>
      <w:r>
        <w:rPr>
          <w:rFonts w:ascii="宋体" w:hAnsi="宋体"/>
          <w:kern w:val="0"/>
          <w:szCs w:val="20"/>
          <w:vertAlign w:val="subscript"/>
        </w:rPr>
        <w:t>hx</w:t>
      </w:r>
      <w:r>
        <w:rPr>
          <w:rFonts w:hint="eastAsia" w:ascii="宋体" w:hAnsi="宋体"/>
          <w:kern w:val="0"/>
          <w:szCs w:val="20"/>
        </w:rPr>
        <w:t>—</w:t>
      </w:r>
      <w:r>
        <w:rPr>
          <w:rFonts w:ascii="宋体" w:hAnsi="宋体"/>
          <w:kern w:val="0"/>
          <w:szCs w:val="20"/>
        </w:rPr>
        <w:t>换热器传热系数，可根据换热器类型查询样本得出</w:t>
      </w:r>
      <w:r>
        <w:rPr>
          <w:rFonts w:hint="eastAsia" w:ascii="宋体" w:hAnsi="宋体"/>
          <w:kern w:val="0"/>
          <w:szCs w:val="20"/>
        </w:rPr>
        <w:t>，单位为瓦每平方米摄氏度[</w:t>
      </w:r>
      <w:r>
        <w:rPr>
          <w:rFonts w:ascii="宋体" w:hAnsi="宋体"/>
          <w:kern w:val="0"/>
          <w:szCs w:val="20"/>
        </w:rPr>
        <w:t>W/(m</w:t>
      </w:r>
      <w:r>
        <w:rPr>
          <w:rFonts w:ascii="宋体" w:hAnsi="宋体"/>
          <w:kern w:val="0"/>
          <w:szCs w:val="20"/>
          <w:vertAlign w:val="superscript"/>
        </w:rPr>
        <w:t>2</w:t>
      </w:r>
      <w:r>
        <w:rPr>
          <w:rFonts w:ascii="宋体" w:hAnsi="宋体"/>
          <w:kern w:val="0"/>
          <w:szCs w:val="20"/>
        </w:rPr>
        <w:t>·℃)</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A</w:t>
      </w:r>
      <w:r>
        <w:rPr>
          <w:rFonts w:ascii="宋体" w:hAnsi="宋体"/>
          <w:kern w:val="0"/>
          <w:szCs w:val="20"/>
          <w:vertAlign w:val="subscript"/>
        </w:rPr>
        <w:t>hx</w:t>
      </w:r>
      <w:r>
        <w:rPr>
          <w:rFonts w:hint="eastAsia" w:ascii="宋体" w:hAnsi="宋体"/>
          <w:kern w:val="0"/>
          <w:szCs w:val="20"/>
        </w:rPr>
        <w:t>—</w:t>
      </w:r>
      <w:r>
        <w:rPr>
          <w:rFonts w:ascii="宋体" w:hAnsi="宋体"/>
          <w:kern w:val="0"/>
          <w:szCs w:val="20"/>
        </w:rPr>
        <w:t>换热器换热面积，</w:t>
      </w:r>
      <w:r>
        <w:rPr>
          <w:rFonts w:hint="eastAsia" w:ascii="宋体" w:hAnsi="宋体"/>
          <w:kern w:val="0"/>
          <w:szCs w:val="20"/>
        </w:rPr>
        <w:t>单位为平方米（</w:t>
      </w:r>
      <w:r>
        <w:rPr>
          <w:rFonts w:ascii="宋体" w:hAnsi="宋体"/>
          <w:kern w:val="0"/>
          <w:szCs w:val="20"/>
        </w:rPr>
        <w:t>m</w:t>
      </w:r>
      <w:r>
        <w:rPr>
          <w:rFonts w:ascii="宋体" w:hAnsi="宋体"/>
          <w:kern w:val="0"/>
          <w:szCs w:val="20"/>
          <w:vertAlign w:val="superscript"/>
        </w:rPr>
        <w:t>2</w:t>
      </w:r>
      <w:r>
        <w:rPr>
          <w:rFonts w:hint="eastAsia" w:ascii="宋体" w:hAnsi="宋体"/>
          <w:kern w:val="0"/>
          <w:szCs w:val="20"/>
        </w:rPr>
        <w:t>）。</w:t>
      </w:r>
    </w:p>
    <w:p>
      <w:pPr>
        <w:pStyle w:val="176"/>
        <w:numPr>
          <w:ilvl w:val="0"/>
          <w:numId w:val="0"/>
        </w:numPr>
        <w:autoSpaceDE w:val="0"/>
        <w:autoSpaceDN w:val="0"/>
        <w:snapToGrid w:val="0"/>
        <w:spacing w:line="360" w:lineRule="auto"/>
        <w:ind w:leftChars="400"/>
        <w:rPr>
          <w:rFonts w:hAnsi="宋体"/>
        </w:rPr>
      </w:pPr>
      <w:r>
        <w:rPr>
          <w:rFonts w:hint="eastAsia" w:hAnsi="宋体"/>
          <w:lang w:val="en-US" w:eastAsia="zh-CN"/>
        </w:rPr>
        <w:t>c)</w:t>
      </w:r>
      <w:r>
        <w:rPr>
          <w:rFonts w:hAnsi="宋体"/>
        </w:rPr>
        <w:t>跟踪式系统集热器总面积</w:t>
      </w:r>
      <w:r>
        <w:rPr>
          <w:rFonts w:hint="eastAsia" w:hAnsi="宋体"/>
        </w:rPr>
        <w:t>，</w:t>
      </w:r>
      <w:r>
        <w:rPr>
          <w:rFonts w:hAnsi="宋体"/>
        </w:rPr>
        <w:t>按</w:t>
      </w:r>
      <w:r>
        <w:rPr>
          <w:rFonts w:hint="eastAsia" w:hAnsi="宋体"/>
        </w:rPr>
        <w:t>公</w:t>
      </w:r>
      <w:r>
        <w:rPr>
          <w:rFonts w:hAnsi="宋体"/>
        </w:rPr>
        <w:t>式</w:t>
      </w:r>
      <w:r>
        <w:rPr>
          <w:rFonts w:hint="eastAsia" w:hAnsi="宋体"/>
        </w:rPr>
        <w:t>（4）、公式（5）</w:t>
      </w:r>
      <w:r>
        <w:rPr>
          <w:rFonts w:hAnsi="宋体"/>
        </w:rPr>
        <w:t>估算：</w:t>
      </w:r>
    </w:p>
    <w:p>
      <w:pPr>
        <w:pStyle w:val="115"/>
      </w:pPr>
      <w:r>
        <w:tab/>
      </w:r>
      <w:r>
        <w:rPr>
          <w:position w:val="-30"/>
        </w:rPr>
        <w:object>
          <v:shape id="_x0000_i1028" o:spt="75" type="#_x0000_t75" style="height:34.5pt;width:103.9pt;" o:ole="t" filled="f" o:preferrelative="t" stroked="f" coordsize="21600,21600">
            <v:path/>
            <v:fill on="f" focussize="0,0"/>
            <v:stroke on="f" joinstyle="miter"/>
            <v:imagedata r:id="rId51" o:title=""/>
            <o:lock v:ext="edit" aspectratio="t"/>
            <w10:wrap type="none"/>
            <w10:anchorlock/>
          </v:shape>
          <o:OLEObject Type="Embed" ProgID="Equation.DSMT4" ShapeID="_x0000_i1028" DrawAspect="Content" ObjectID="_1468075728" r:id="rId50">
            <o:LockedField>false</o:LockedField>
          </o:OLEObject>
        </w:object>
      </w:r>
      <w:r>
        <w:rPr>
          <w:rFonts w:ascii="微软雅黑" w:hAnsi="微软雅黑" w:eastAsia="微软雅黑"/>
        </w:rPr>
        <w:tab/>
      </w:r>
      <w:r>
        <w:t>(</w:t>
      </w:r>
      <w:r>
        <w:rPr>
          <w:rFonts w:hint="eastAsia"/>
        </w:rPr>
        <w:t>4</w:t>
      </w:r>
      <w:r>
        <w:t>)</w:t>
      </w:r>
    </w:p>
    <w:p>
      <w:pPr>
        <w:pStyle w:val="115"/>
      </w:pPr>
      <w:r>
        <w:tab/>
      </w:r>
      <w:r>
        <w:rPr>
          <w:rFonts w:hint="eastAsia" w:eastAsiaTheme="minorEastAsia"/>
          <w:position w:val="-24"/>
        </w:rPr>
        <w:object>
          <v:shape id="_x0000_i1029" o:spt="75" type="#_x0000_t75" style="height:34.5pt;width:98.65pt;" o:ole="t" filled="f" o:preferrelative="t" stroked="f" coordsize="21600,21600">
            <v:path/>
            <v:fill on="f" focussize="0,0"/>
            <v:stroke on="f" joinstyle="miter"/>
            <v:imagedata r:id="rId53" o:title=""/>
            <o:lock v:ext="edit" aspectratio="t"/>
            <w10:wrap type="none"/>
            <w10:anchorlock/>
          </v:shape>
          <o:OLEObject Type="Embed" ProgID="Equation.3" ShapeID="_x0000_i1029" DrawAspect="Content" ObjectID="_1468075729" r:id="rId52">
            <o:LockedField>false</o:LockedField>
          </o:OLEObject>
        </w:object>
      </w:r>
      <w:r>
        <w:rPr>
          <w:rFonts w:ascii="微软雅黑" w:hAnsi="微软雅黑" w:eastAsia="微软雅黑"/>
        </w:rPr>
        <w:tab/>
      </w:r>
      <w:r>
        <w:t>(</w:t>
      </w:r>
      <w:r>
        <w:rPr>
          <w:rFonts w:hint="eastAsia"/>
        </w:rPr>
        <w:t>5</w:t>
      </w:r>
      <w: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式中：</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A</w:t>
      </w:r>
      <w:r>
        <w:rPr>
          <w:rFonts w:ascii="宋体" w:hAnsi="宋体"/>
          <w:kern w:val="0"/>
          <w:szCs w:val="20"/>
          <w:vertAlign w:val="subscript"/>
        </w:rPr>
        <w:t>Z</w:t>
      </w:r>
      <w:r>
        <w:rPr>
          <w:rFonts w:hint="eastAsia" w:ascii="宋体" w:hAnsi="宋体"/>
          <w:kern w:val="0"/>
          <w:szCs w:val="20"/>
        </w:rPr>
        <w:t>—</w:t>
      </w:r>
      <w:r>
        <w:rPr>
          <w:rFonts w:ascii="宋体" w:hAnsi="宋体"/>
          <w:kern w:val="0"/>
          <w:szCs w:val="20"/>
        </w:rPr>
        <w:t>直接式系统集热器总面积，</w:t>
      </w:r>
      <w:r>
        <w:rPr>
          <w:rFonts w:hint="eastAsia" w:ascii="宋体" w:hAnsi="宋体"/>
          <w:kern w:val="0"/>
          <w:szCs w:val="20"/>
        </w:rPr>
        <w:t>单位为平方米（</w:t>
      </w:r>
      <w:r>
        <w:rPr>
          <w:rFonts w:ascii="宋体" w:hAnsi="宋体"/>
          <w:kern w:val="0"/>
          <w:szCs w:val="20"/>
        </w:rPr>
        <w:t>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575" w:leftChars="400" w:hanging="735" w:hangingChars="350"/>
        <w:rPr>
          <w:rFonts w:ascii="宋体" w:hAnsi="宋体"/>
          <w:kern w:val="0"/>
          <w:szCs w:val="20"/>
        </w:rPr>
      </w:pPr>
      <w:r>
        <w:rPr>
          <w:rFonts w:ascii="宋体" w:hAnsi="宋体"/>
          <w:i/>
          <w:kern w:val="0"/>
          <w:szCs w:val="20"/>
        </w:rPr>
        <w:t>I</w:t>
      </w:r>
      <w:r>
        <w:rPr>
          <w:rFonts w:ascii="宋体" w:hAnsi="宋体"/>
          <w:kern w:val="0"/>
          <w:szCs w:val="20"/>
          <w:vertAlign w:val="subscript"/>
        </w:rPr>
        <w:t>IN</w:t>
      </w:r>
      <w:r>
        <w:rPr>
          <w:rFonts w:hint="eastAsia" w:ascii="宋体" w:hAnsi="宋体"/>
          <w:kern w:val="0"/>
          <w:szCs w:val="20"/>
        </w:rPr>
        <w:t>—</w:t>
      </w:r>
      <w:r>
        <w:rPr>
          <w:rFonts w:ascii="宋体" w:hAnsi="宋体"/>
          <w:kern w:val="0"/>
          <w:szCs w:val="20"/>
        </w:rPr>
        <w:t>跟踪式系统运行期间的月平均日平均直射辐照量，</w:t>
      </w:r>
      <w:r>
        <w:rPr>
          <w:rFonts w:hint="eastAsia" w:ascii="宋体" w:hAnsi="宋体"/>
          <w:kern w:val="0"/>
          <w:szCs w:val="20"/>
        </w:rPr>
        <w:t>单位为兆焦每平方米（</w:t>
      </w:r>
      <w:r>
        <w:rPr>
          <w:rFonts w:ascii="宋体" w:hAnsi="宋体"/>
          <w:kern w:val="0"/>
          <w:szCs w:val="20"/>
        </w:rPr>
        <w:t>MJ/m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575" w:leftChars="400" w:hanging="735" w:hangingChars="350"/>
        <w:rPr>
          <w:rFonts w:ascii="宋体" w:hAnsi="宋体"/>
          <w:kern w:val="0"/>
          <w:szCs w:val="20"/>
        </w:rPr>
      </w:pPr>
      <w:r>
        <w:rPr>
          <w:rFonts w:ascii="宋体" w:hAnsi="宋体"/>
          <w:i/>
          <w:kern w:val="0"/>
          <w:szCs w:val="20"/>
        </w:rPr>
        <w:t>η</w:t>
      </w:r>
      <w:r>
        <w:rPr>
          <w:rFonts w:ascii="宋体" w:hAnsi="宋体"/>
          <w:kern w:val="0"/>
          <w:szCs w:val="20"/>
          <w:vertAlign w:val="subscript"/>
        </w:rPr>
        <w:t>cd</w:t>
      </w:r>
      <w:r>
        <w:rPr>
          <w:rFonts w:hint="eastAsia" w:ascii="宋体" w:hAnsi="宋体"/>
          <w:kern w:val="0"/>
          <w:szCs w:val="20"/>
        </w:rPr>
        <w:t>—</w:t>
      </w:r>
      <w:r>
        <w:rPr>
          <w:rFonts w:ascii="宋体" w:hAnsi="宋体"/>
          <w:kern w:val="0"/>
          <w:szCs w:val="20"/>
        </w:rPr>
        <w:t>集热器年或月平均集热效率，无量纲，具体取值可根据集热器产品的实际测试结果取值；</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ξ</w:t>
      </w:r>
      <w:r>
        <w:rPr>
          <w:rFonts w:hint="eastAsia" w:ascii="宋体" w:hAnsi="宋体"/>
          <w:kern w:val="0"/>
          <w:szCs w:val="20"/>
        </w:rPr>
        <w:t>—</w:t>
      </w:r>
      <w:r>
        <w:rPr>
          <w:rFonts w:ascii="宋体" w:hAnsi="宋体"/>
          <w:kern w:val="0"/>
          <w:szCs w:val="20"/>
        </w:rPr>
        <w:t>集热器追踪修正系数，通过专用软件计算，或查表</w:t>
      </w:r>
      <w:r>
        <w:rPr>
          <w:rFonts w:hint="eastAsia" w:ascii="宋体" w:hAnsi="宋体"/>
          <w:kern w:val="0"/>
          <w:szCs w:val="20"/>
        </w:rPr>
        <w:t>；</w:t>
      </w:r>
    </w:p>
    <w:p>
      <w:pPr>
        <w:widowControl/>
        <w:tabs>
          <w:tab w:val="center" w:pos="4201"/>
          <w:tab w:val="right" w:leader="dot" w:pos="9298"/>
        </w:tabs>
        <w:autoSpaceDE w:val="0"/>
        <w:autoSpaceDN w:val="0"/>
        <w:adjustRightInd/>
        <w:snapToGrid w:val="0"/>
        <w:spacing w:line="240" w:lineRule="auto"/>
        <w:ind w:left="1470" w:leftChars="400" w:hanging="630" w:hangingChars="300"/>
        <w:rPr>
          <w:rFonts w:ascii="宋体" w:hAnsi="宋体"/>
          <w:kern w:val="0"/>
          <w:szCs w:val="20"/>
        </w:rPr>
      </w:pPr>
      <w:r>
        <w:rPr>
          <w:rFonts w:ascii="宋体" w:hAnsi="宋体"/>
          <w:i/>
          <w:kern w:val="0"/>
          <w:szCs w:val="20"/>
        </w:rPr>
        <w:t>J</w:t>
      </w:r>
      <w:r>
        <w:rPr>
          <w:rFonts w:ascii="宋体" w:hAnsi="宋体"/>
          <w:kern w:val="0"/>
          <w:szCs w:val="20"/>
          <w:vertAlign w:val="subscript"/>
        </w:rPr>
        <w:t>IN</w:t>
      </w:r>
      <w:r>
        <w:rPr>
          <w:rFonts w:hint="eastAsia" w:ascii="宋体" w:hAnsi="宋体"/>
          <w:kern w:val="0"/>
          <w:szCs w:val="20"/>
        </w:rPr>
        <w:t>—</w:t>
      </w:r>
      <w:r>
        <w:rPr>
          <w:rFonts w:ascii="宋体" w:hAnsi="宋体"/>
          <w:kern w:val="0"/>
          <w:szCs w:val="20"/>
        </w:rPr>
        <w:t>当地集热器安装倾斜角表面上的月平均日太阳直射辐照量，</w:t>
      </w:r>
      <w:r>
        <w:rPr>
          <w:rFonts w:hint="eastAsia" w:ascii="宋体" w:hAnsi="宋体"/>
          <w:kern w:val="0"/>
          <w:szCs w:val="20"/>
        </w:rPr>
        <w:t>单位为兆焦每平方米（</w:t>
      </w:r>
      <w:r>
        <w:rPr>
          <w:rFonts w:ascii="宋体" w:hAnsi="宋体"/>
          <w:kern w:val="0"/>
          <w:szCs w:val="20"/>
        </w:rPr>
        <w:t>MJ/m</w:t>
      </w:r>
      <w:r>
        <w:rPr>
          <w:rFonts w:ascii="宋体" w:hAnsi="宋体"/>
          <w:kern w:val="0"/>
          <w:szCs w:val="20"/>
          <w:vertAlign w:val="superscript"/>
        </w:rPr>
        <w:t>2</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i/>
          <w:kern w:val="0"/>
          <w:szCs w:val="20"/>
        </w:rPr>
        <w:t>n</w:t>
      </w:r>
      <w:r>
        <w:rPr>
          <w:rFonts w:hint="eastAsia" w:ascii="宋体" w:hAnsi="宋体"/>
          <w:kern w:val="0"/>
          <w:szCs w:val="20"/>
        </w:rPr>
        <w:t>—</w:t>
      </w:r>
      <w:r>
        <w:rPr>
          <w:rFonts w:ascii="宋体" w:hAnsi="宋体"/>
          <w:kern w:val="0"/>
          <w:szCs w:val="20"/>
        </w:rPr>
        <w:t>计算周期，</w:t>
      </w:r>
      <w:r>
        <w:rPr>
          <w:rFonts w:hint="eastAsia" w:ascii="宋体" w:hAnsi="宋体"/>
          <w:kern w:val="0"/>
          <w:szCs w:val="20"/>
        </w:rPr>
        <w:t>单位为</w:t>
      </w:r>
      <w:r>
        <w:rPr>
          <w:rFonts w:ascii="宋体" w:hAnsi="宋体"/>
          <w:kern w:val="0"/>
          <w:szCs w:val="20"/>
        </w:rPr>
        <w:t>月</w:t>
      </w:r>
      <w:r>
        <w:rPr>
          <w:rFonts w:hint="eastAsia" w:ascii="宋体" w:hAnsi="宋体"/>
          <w:kern w:val="0"/>
          <w:szCs w:val="20"/>
        </w:rPr>
        <w:t>（m</w:t>
      </w:r>
      <w:r>
        <w:rPr>
          <w:rFonts w:ascii="宋体" w:hAnsi="宋体"/>
          <w:kern w:val="0"/>
          <w:szCs w:val="20"/>
        </w:rPr>
        <w:t>onth</w:t>
      </w:r>
      <w:r>
        <w:rPr>
          <w:rFonts w:hint="eastAsia" w:ascii="宋体" w:hAnsi="宋体"/>
          <w:kern w:val="0"/>
          <w:szCs w:val="20"/>
        </w:rPr>
        <w:t>）</w:t>
      </w:r>
      <w:r>
        <w:rPr>
          <w:rFonts w:ascii="宋体" w:hAnsi="宋体"/>
          <w:kern w:val="0"/>
          <w:szCs w:val="20"/>
        </w:rPr>
        <w:t>。</w:t>
      </w:r>
    </w:p>
    <w:p>
      <w:pPr>
        <w:pStyle w:val="67"/>
        <w:spacing w:before="156" w:after="156"/>
      </w:pPr>
      <w:r>
        <w:rPr>
          <w:rFonts w:hint="eastAsia"/>
        </w:rPr>
        <w:t>系统布置</w:t>
      </w:r>
    </w:p>
    <w:p>
      <w:pPr>
        <w:pStyle w:val="176"/>
        <w:numPr>
          <w:ilvl w:val="0"/>
          <w:numId w:val="0"/>
        </w:numPr>
        <w:ind w:firstLine="420" w:firstLineChars="200"/>
      </w:pPr>
      <w:r>
        <w:rPr>
          <w:rFonts w:hint="eastAsia"/>
        </w:rPr>
        <w:t>在考虑占地位置、占地面积和光照情况外，系统布置应兼顾布局紧凑、合理，管线连接短捷、整齐。</w:t>
      </w:r>
    </w:p>
    <w:p>
      <w:pPr>
        <w:pStyle w:val="176"/>
        <w:numPr>
          <w:ilvl w:val="0"/>
          <w:numId w:val="35"/>
        </w:numPr>
      </w:pPr>
      <w:r>
        <w:rPr>
          <w:rFonts w:hint="eastAsia"/>
        </w:rPr>
        <w:t>集热系统中各集热器可通过并联、串联和串并联等方式连接成集热器阵列，集热器阵列间的互相连接宜按同程原则进行设计。集热系统的设计流量应根据太阳能集热器生产企业给出的数值确定。</w:t>
      </w:r>
    </w:p>
    <w:p>
      <w:pPr>
        <w:pStyle w:val="176"/>
        <w:numPr>
          <w:ilvl w:val="0"/>
          <w:numId w:val="35"/>
        </w:numPr>
      </w:pPr>
      <w:r>
        <w:rPr>
          <w:rFonts w:hint="eastAsia"/>
        </w:rPr>
        <w:t>对于非跟踪式集热系统，集热器的主要朝向宜为南向。全年使用的集热器安装倾角宜等于当地纬度；夏季使用，其安装倾角宜等于当地纬度减10°；冬季使用，其安装倾角宜等于当地纬度加10°。对于跟踪式集热系统，全年使用或夏季使用的集热器宜平行于经度方向安装；冬季使用集热器宜平行于纬度方向安装。</w:t>
      </w:r>
    </w:p>
    <w:p>
      <w:pPr>
        <w:pStyle w:val="107"/>
        <w:spacing w:before="156" w:after="156"/>
      </w:pPr>
      <w:bookmarkStart w:id="100" w:name="_Toc178339493"/>
      <w:bookmarkStart w:id="101" w:name="_Toc178345005"/>
      <w:bookmarkStart w:id="102" w:name="_Toc14315"/>
      <w:bookmarkStart w:id="103" w:name="_Toc171601718"/>
      <w:bookmarkStart w:id="104" w:name="_Toc27543"/>
      <w:r>
        <w:rPr>
          <w:rFonts w:hint="eastAsia"/>
        </w:rPr>
        <w:t>蓄热系统</w:t>
      </w:r>
      <w:bookmarkEnd w:id="100"/>
      <w:bookmarkEnd w:id="101"/>
      <w:bookmarkEnd w:id="102"/>
      <w:bookmarkEnd w:id="103"/>
      <w:bookmarkEnd w:id="104"/>
    </w:p>
    <w:p>
      <w:pPr>
        <w:pStyle w:val="167"/>
      </w:pPr>
      <w:r>
        <w:rPr>
          <w:rFonts w:hint="eastAsia"/>
        </w:rPr>
        <w:t>应根据系统性能、蓄热量、蓄热周期、蓄热温度、太阳能保证率和系统投资等进行经济分析，选取合适的蓄热系统。</w:t>
      </w:r>
    </w:p>
    <w:p>
      <w:pPr>
        <w:pStyle w:val="167"/>
      </w:pPr>
      <w:r>
        <w:rPr>
          <w:rFonts w:hint="eastAsia"/>
        </w:rPr>
        <w:t>宜考虑蓄热系统周边的地质情况、基础承重能力和保温防水等，应设绝热保温、防凝设施，应进行基础结构加固、防潮隔热等辅助设计。</w:t>
      </w:r>
    </w:p>
    <w:p>
      <w:pPr>
        <w:pStyle w:val="167"/>
      </w:pPr>
      <w:r>
        <w:rPr>
          <w:rFonts w:hint="eastAsia"/>
        </w:rPr>
        <w:t>蓄热介质和蓄热装置应具有相容性，流体蓄热介质应有防漏防渗措施和疏放系统，宜尽量减小蓄热材料暴露面积。</w:t>
      </w:r>
    </w:p>
    <w:p>
      <w:pPr>
        <w:pStyle w:val="167"/>
      </w:pPr>
      <w:r>
        <w:rPr>
          <w:rFonts w:hint="eastAsia"/>
        </w:rPr>
        <w:t>蓄热系统应符合GB/T 40517 的规定。</w:t>
      </w:r>
    </w:p>
    <w:p>
      <w:pPr>
        <w:pStyle w:val="107"/>
        <w:spacing w:before="156" w:after="156"/>
      </w:pPr>
      <w:bookmarkStart w:id="105" w:name="_Toc171601719"/>
      <w:bookmarkStart w:id="106" w:name="_Toc178339494"/>
      <w:bookmarkStart w:id="107" w:name="_Toc6418"/>
      <w:bookmarkStart w:id="108" w:name="_Toc22884"/>
      <w:bookmarkStart w:id="109" w:name="_Toc178345006"/>
      <w:r>
        <w:rPr>
          <w:rFonts w:hint="eastAsia"/>
        </w:rPr>
        <w:t>辅助热源系统</w:t>
      </w:r>
      <w:bookmarkEnd w:id="105"/>
      <w:bookmarkEnd w:id="106"/>
      <w:bookmarkEnd w:id="107"/>
      <w:bookmarkEnd w:id="108"/>
      <w:bookmarkEnd w:id="109"/>
    </w:p>
    <w:p>
      <w:pPr>
        <w:pStyle w:val="167"/>
      </w:pPr>
      <w:r>
        <w:rPr>
          <w:rFonts w:hint="eastAsia"/>
        </w:rPr>
        <w:t>应根据系统供热制冷的需要与技术规格等资料，经技术经济分析后选取适宜的热源类型。</w:t>
      </w:r>
    </w:p>
    <w:p>
      <w:pPr>
        <w:pStyle w:val="167"/>
      </w:pPr>
      <w:r>
        <w:rPr>
          <w:rFonts w:hint="eastAsia"/>
        </w:rPr>
        <w:t>优先选择可再生能源，也可根据地域条件和经济分析选择燃气、电加热等常规能源。</w:t>
      </w:r>
    </w:p>
    <w:p>
      <w:pPr>
        <w:pStyle w:val="167"/>
      </w:pPr>
      <w:r>
        <w:rPr>
          <w:rFonts w:hint="eastAsia"/>
        </w:rPr>
        <w:t>应按太阳能系统最不利的供热能力设计符合用热需求的容量。</w:t>
      </w:r>
    </w:p>
    <w:p>
      <w:pPr>
        <w:pStyle w:val="167"/>
      </w:pPr>
      <w:r>
        <w:rPr>
          <w:rFonts w:hint="eastAsia"/>
        </w:rPr>
        <w:t>可采用并联或串联等合理高效的供热方式组合，可采用手动、自动等控制方案。</w:t>
      </w:r>
    </w:p>
    <w:p>
      <w:pPr>
        <w:pStyle w:val="107"/>
        <w:spacing w:before="156" w:after="156"/>
      </w:pPr>
      <w:bookmarkStart w:id="110" w:name="_Toc178345007"/>
      <w:bookmarkStart w:id="111" w:name="_Toc178339495"/>
      <w:bookmarkStart w:id="112" w:name="_Toc171601720"/>
      <w:bookmarkStart w:id="113" w:name="_Toc24890"/>
      <w:bookmarkStart w:id="114" w:name="_Toc591"/>
      <w:r>
        <w:rPr>
          <w:rFonts w:hint="eastAsia"/>
        </w:rPr>
        <w:t>换热调节系统</w:t>
      </w:r>
      <w:bookmarkEnd w:id="110"/>
      <w:bookmarkEnd w:id="111"/>
      <w:bookmarkEnd w:id="112"/>
      <w:bookmarkEnd w:id="113"/>
      <w:bookmarkEnd w:id="114"/>
    </w:p>
    <w:p>
      <w:pPr>
        <w:pStyle w:val="167"/>
      </w:pPr>
      <w:r>
        <w:rPr>
          <w:rFonts w:hint="eastAsia"/>
        </w:rPr>
        <w:t>应能实现换热调节系统与蓄热系统、辅助热源系统、热驱动制冷系统的热量交互。</w:t>
      </w:r>
    </w:p>
    <w:p>
      <w:pPr>
        <w:pStyle w:val="167"/>
      </w:pPr>
      <w:r>
        <w:rPr>
          <w:rFonts w:hint="eastAsia"/>
        </w:rPr>
        <w:t>由于太阳辐照变化引起太阳能集热系统热力输出参数变化时，换热调节系统可调节热力输出保持平稳状态。</w:t>
      </w:r>
    </w:p>
    <w:p>
      <w:pPr>
        <w:pStyle w:val="167"/>
      </w:pPr>
      <w:r>
        <w:rPr>
          <w:rFonts w:hint="eastAsia"/>
        </w:rPr>
        <w:t>换热器应根据换热负荷参照有关设计规范或厂商说明进行选型，满足系统耐温、耐压和防腐的规定。</w:t>
      </w:r>
    </w:p>
    <w:p>
      <w:pPr>
        <w:pStyle w:val="167"/>
      </w:pPr>
      <w:r>
        <w:rPr>
          <w:rFonts w:hint="eastAsia"/>
        </w:rPr>
        <w:t>宜采用结构简单、维修清洗方便的板式换热器或管式换热器。</w:t>
      </w:r>
    </w:p>
    <w:p>
      <w:pPr>
        <w:pStyle w:val="167"/>
      </w:pPr>
      <w:r>
        <w:rPr>
          <w:rFonts w:hint="eastAsia"/>
        </w:rPr>
        <w:t>换热器与传热工质应有较好的相容性，不会对水产生二次污染，宜考虑防垢、清垢措施。</w:t>
      </w:r>
    </w:p>
    <w:p>
      <w:pPr>
        <w:pStyle w:val="107"/>
        <w:spacing w:before="156" w:after="156"/>
      </w:pPr>
      <w:bookmarkStart w:id="115" w:name="_Toc178345008"/>
      <w:bookmarkStart w:id="116" w:name="_Toc171601721"/>
      <w:bookmarkStart w:id="117" w:name="_Toc178339496"/>
      <w:bookmarkStart w:id="118" w:name="_Toc15724"/>
      <w:bookmarkStart w:id="119" w:name="_Toc32311"/>
      <w:r>
        <w:rPr>
          <w:rFonts w:hint="eastAsia"/>
        </w:rPr>
        <w:t>热驱动制冷系统</w:t>
      </w:r>
      <w:bookmarkEnd w:id="115"/>
      <w:bookmarkEnd w:id="116"/>
      <w:bookmarkEnd w:id="117"/>
      <w:bookmarkEnd w:id="118"/>
      <w:bookmarkEnd w:id="119"/>
    </w:p>
    <w:p>
      <w:pPr>
        <w:pStyle w:val="67"/>
        <w:spacing w:before="156" w:after="156"/>
      </w:pPr>
      <w:r>
        <w:rPr>
          <w:rFonts w:hint="eastAsia"/>
        </w:rPr>
        <w:t>制冷负荷</w:t>
      </w:r>
    </w:p>
    <w:p>
      <w:pPr>
        <w:pStyle w:val="58"/>
        <w:ind w:firstLine="420"/>
      </w:pPr>
      <w:r>
        <w:rPr>
          <w:rFonts w:hint="eastAsia"/>
        </w:rPr>
        <w:t>根据GB 50736、GB 50019等标准的规定计算空调制冷负荷，按照工作时间段、冷媒形式（液体、气体）、冷媒温度和冷媒流量等要求进行制冷系统选型。</w:t>
      </w:r>
    </w:p>
    <w:p>
      <w:pPr>
        <w:pStyle w:val="67"/>
        <w:spacing w:before="156" w:after="156"/>
      </w:pPr>
      <w:r>
        <w:rPr>
          <w:rFonts w:hint="eastAsia"/>
        </w:rPr>
        <w:t>系统选型</w:t>
      </w:r>
    </w:p>
    <w:p>
      <w:pPr>
        <w:pStyle w:val="58"/>
        <w:ind w:firstLine="420"/>
      </w:pPr>
      <w:r>
        <w:rPr>
          <w:rFonts w:hint="eastAsia"/>
        </w:rPr>
        <w:t>应能满足制冷负荷要求，并与中温太阳能集热系统、辅助热源系统温度、流量等热力参数匹配。具体参数匹配情况如下：</w:t>
      </w:r>
    </w:p>
    <w:p>
      <w:pPr>
        <w:pStyle w:val="176"/>
        <w:numPr>
          <w:ilvl w:val="0"/>
          <w:numId w:val="36"/>
        </w:numPr>
      </w:pPr>
      <w:r>
        <w:rPr>
          <w:rFonts w:hint="eastAsia"/>
        </w:rPr>
        <w:t>吸收式、吸附式和除湿式机组的性能参数应符合GB 18361、GB/T 18431、GB/T 22070等相应标准的规定或设计要求；</w:t>
      </w:r>
    </w:p>
    <w:p>
      <w:pPr>
        <w:pStyle w:val="176"/>
        <w:numPr>
          <w:ilvl w:val="0"/>
          <w:numId w:val="35"/>
        </w:numPr>
      </w:pPr>
      <w:r>
        <w:rPr>
          <w:rFonts w:hint="eastAsia"/>
        </w:rPr>
        <w:t>当热源温度比较高时，宜采用双效、三效或多效机组；</w:t>
      </w:r>
    </w:p>
    <w:p>
      <w:pPr>
        <w:pStyle w:val="176"/>
        <w:numPr>
          <w:ilvl w:val="0"/>
          <w:numId w:val="35"/>
        </w:numPr>
      </w:pPr>
      <w:r>
        <w:rPr>
          <w:rFonts w:hint="eastAsia"/>
        </w:rPr>
        <w:t>应根据不同驱动温度下制冷系统的COP特性，综合考虑集热系统安装面积、经济性，确定系统设计驱动温度。可参考表2、表3进行。</w:t>
      </w:r>
    </w:p>
    <w:p>
      <w:pPr>
        <w:pStyle w:val="114"/>
        <w:spacing w:before="156" w:after="156"/>
      </w:pPr>
      <w:r>
        <w:t xml:space="preserve"> </w:t>
      </w:r>
      <w:bookmarkStart w:id="120" w:name="_Toc58500377"/>
      <w:bookmarkStart w:id="121" w:name="_Toc48633478"/>
      <w:bookmarkStart w:id="122" w:name="_Toc48633364"/>
      <w:bookmarkStart w:id="123" w:name="_Toc58500549"/>
      <w:r>
        <w:t>中温太阳能</w:t>
      </w:r>
      <w:r>
        <w:rPr>
          <w:rFonts w:hint="eastAsia"/>
        </w:rPr>
        <w:t>空调</w:t>
      </w:r>
      <w:r>
        <w:t>系统选型表</w:t>
      </w:r>
      <w:bookmarkEnd w:id="120"/>
      <w:bookmarkEnd w:id="121"/>
      <w:bookmarkEnd w:id="122"/>
      <w:bookmarkEnd w:id="123"/>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343"/>
        <w:gridCol w:w="2343"/>
        <w:gridCol w:w="2344"/>
        <w:gridCol w:w="23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343" w:type="dxa"/>
            <w:vMerge w:val="restart"/>
            <w:tcBorders>
              <w:top w:val="single" w:color="auto" w:sz="8" w:space="0"/>
            </w:tcBorders>
            <w:shd w:val="clear" w:color="auto" w:fill="auto"/>
            <w:vAlign w:val="center"/>
          </w:tcPr>
          <w:p>
            <w:pPr>
              <w:pStyle w:val="180"/>
            </w:pPr>
            <w:r>
              <w:rPr>
                <w:rFonts w:hint="eastAsia"/>
              </w:rPr>
              <w:t>冷量特点</w:t>
            </w:r>
          </w:p>
        </w:tc>
        <w:tc>
          <w:tcPr>
            <w:tcW w:w="7031" w:type="dxa"/>
            <w:gridSpan w:val="3"/>
            <w:tcBorders>
              <w:top w:val="single" w:color="auto" w:sz="8" w:space="0"/>
              <w:bottom w:val="single" w:color="auto" w:sz="8" w:space="0"/>
            </w:tcBorders>
            <w:shd w:val="clear" w:color="auto" w:fill="auto"/>
            <w:vAlign w:val="center"/>
          </w:tcPr>
          <w:p>
            <w:pPr>
              <w:pStyle w:val="180"/>
            </w:pPr>
            <w:r>
              <w:rPr>
                <w:rFonts w:hint="eastAsia"/>
              </w:rPr>
              <w:t>中温太阳能空调系统类型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343" w:type="dxa"/>
            <w:vMerge w:val="continue"/>
            <w:shd w:val="clear" w:color="auto" w:fill="auto"/>
            <w:vAlign w:val="center"/>
          </w:tcPr>
          <w:p>
            <w:pPr>
              <w:pStyle w:val="180"/>
            </w:pPr>
          </w:p>
        </w:tc>
        <w:tc>
          <w:tcPr>
            <w:tcW w:w="2343" w:type="dxa"/>
            <w:tcBorders>
              <w:top w:val="single" w:color="auto" w:sz="8" w:space="0"/>
            </w:tcBorders>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吸收</w:t>
            </w:r>
            <w:r>
              <w:rPr>
                <w:rFonts w:hint="eastAsia" w:ascii="宋体" w:hAnsi="宋体"/>
                <w:color w:val="000000"/>
                <w:kern w:val="0"/>
                <w:sz w:val="18"/>
                <w:szCs w:val="18"/>
              </w:rPr>
              <w:t>型</w:t>
            </w:r>
          </w:p>
        </w:tc>
        <w:tc>
          <w:tcPr>
            <w:tcW w:w="2344" w:type="dxa"/>
            <w:tcBorders>
              <w:top w:val="single" w:color="auto" w:sz="8" w:space="0"/>
            </w:tcBorders>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吸附</w:t>
            </w:r>
            <w:r>
              <w:rPr>
                <w:rFonts w:hint="eastAsia" w:ascii="宋体" w:hAnsi="宋体"/>
                <w:color w:val="000000"/>
                <w:kern w:val="0"/>
                <w:sz w:val="18"/>
                <w:szCs w:val="18"/>
              </w:rPr>
              <w:t>型</w:t>
            </w:r>
          </w:p>
        </w:tc>
        <w:tc>
          <w:tcPr>
            <w:tcW w:w="2344" w:type="dxa"/>
            <w:tcBorders>
              <w:top w:val="single" w:color="auto" w:sz="8" w:space="0"/>
            </w:tcBorders>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除湿</w:t>
            </w:r>
            <w:r>
              <w:rPr>
                <w:rFonts w:hint="eastAsia" w:ascii="宋体" w:hAnsi="宋体"/>
                <w:color w:val="000000"/>
                <w:kern w:val="0"/>
                <w:sz w:val="18"/>
                <w:szCs w:val="18"/>
              </w:rPr>
              <w:t>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冷媒形式</w:t>
            </w:r>
          </w:p>
        </w:tc>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液体</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液体</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sz w:val="18"/>
                <w:szCs w:val="18"/>
              </w:rPr>
              <w:t>气体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冷媒温度（℃）</w:t>
            </w:r>
          </w:p>
        </w:tc>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-20</w:t>
            </w:r>
            <w:r>
              <w:rPr>
                <w:rFonts w:hint="eastAsia" w:ascii="宋体" w:hAnsi="宋体"/>
                <w:color w:val="000000"/>
                <w:kern w:val="0"/>
                <w:sz w:val="18"/>
                <w:szCs w:val="18"/>
              </w:rPr>
              <w:t>～</w:t>
            </w:r>
            <w:r>
              <w:rPr>
                <w:rFonts w:ascii="宋体" w:hAnsi="宋体"/>
                <w:color w:val="000000"/>
                <w:kern w:val="0"/>
                <w:sz w:val="18"/>
                <w:szCs w:val="18"/>
              </w:rPr>
              <w:t>20</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7</w:t>
            </w:r>
            <w:r>
              <w:rPr>
                <w:rFonts w:hint="eastAsia" w:ascii="宋体" w:hAnsi="宋体"/>
                <w:color w:val="000000"/>
                <w:kern w:val="0"/>
                <w:sz w:val="18"/>
                <w:szCs w:val="18"/>
              </w:rPr>
              <w:t>～</w:t>
            </w:r>
            <w:r>
              <w:rPr>
                <w:rFonts w:ascii="宋体" w:hAnsi="宋体"/>
                <w:color w:val="000000"/>
                <w:kern w:val="0"/>
                <w:sz w:val="18"/>
                <w:szCs w:val="18"/>
              </w:rPr>
              <w:t>20</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12</w:t>
            </w:r>
            <w:r>
              <w:rPr>
                <w:rFonts w:hint="eastAsia" w:ascii="宋体" w:hAnsi="宋体"/>
                <w:color w:val="000000"/>
                <w:kern w:val="0"/>
                <w:sz w:val="18"/>
                <w:szCs w:val="18"/>
              </w:rPr>
              <w:t>～</w:t>
            </w:r>
            <w:r>
              <w:rPr>
                <w:rFonts w:ascii="宋体" w:hAnsi="宋体"/>
                <w:color w:val="000000"/>
                <w:kern w:val="0"/>
                <w:sz w:val="18"/>
                <w:szCs w:val="18"/>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驱动温度（℃）</w:t>
            </w:r>
          </w:p>
        </w:tc>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8</w:t>
            </w:r>
            <w:r>
              <w:rPr>
                <w:rFonts w:ascii="宋体" w:hAnsi="宋体"/>
                <w:color w:val="000000"/>
                <w:kern w:val="0"/>
                <w:sz w:val="18"/>
                <w:szCs w:val="18"/>
              </w:rPr>
              <w:t>0</w:t>
            </w:r>
            <w:r>
              <w:rPr>
                <w:rFonts w:hint="eastAsia" w:ascii="宋体" w:hAnsi="宋体"/>
                <w:color w:val="000000"/>
                <w:kern w:val="0"/>
                <w:sz w:val="18"/>
                <w:szCs w:val="18"/>
              </w:rPr>
              <w:t>～</w:t>
            </w:r>
            <w:r>
              <w:rPr>
                <w:rFonts w:ascii="宋体" w:hAnsi="宋体"/>
                <w:color w:val="000000"/>
                <w:kern w:val="0"/>
                <w:sz w:val="18"/>
                <w:szCs w:val="18"/>
              </w:rPr>
              <w:t>250</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8</w:t>
            </w:r>
            <w:r>
              <w:rPr>
                <w:rFonts w:ascii="宋体" w:hAnsi="宋体"/>
                <w:color w:val="000000"/>
                <w:kern w:val="0"/>
                <w:sz w:val="18"/>
                <w:szCs w:val="18"/>
              </w:rPr>
              <w:t>0</w:t>
            </w:r>
            <w:r>
              <w:rPr>
                <w:rFonts w:hint="eastAsia" w:ascii="宋体" w:hAnsi="宋体"/>
                <w:color w:val="000000"/>
                <w:kern w:val="0"/>
                <w:sz w:val="18"/>
                <w:szCs w:val="18"/>
              </w:rPr>
              <w:t>～</w:t>
            </w:r>
            <w:r>
              <w:rPr>
                <w:rFonts w:ascii="宋体" w:hAnsi="宋体"/>
                <w:color w:val="000000"/>
                <w:kern w:val="0"/>
                <w:sz w:val="18"/>
                <w:szCs w:val="18"/>
              </w:rPr>
              <w:t>250</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55</w:t>
            </w:r>
            <w:r>
              <w:rPr>
                <w:rFonts w:hint="eastAsia" w:ascii="宋体" w:hAnsi="宋体"/>
                <w:color w:val="000000"/>
                <w:kern w:val="0"/>
                <w:sz w:val="18"/>
                <w:szCs w:val="18"/>
              </w:rPr>
              <w:t>～</w:t>
            </w:r>
            <w:r>
              <w:rPr>
                <w:rFonts w:ascii="宋体" w:hAnsi="宋体"/>
                <w:color w:val="000000"/>
                <w:kern w:val="0"/>
                <w:sz w:val="18"/>
                <w:szCs w:val="18"/>
              </w:rPr>
              <w:t>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适用类型</w:t>
            </w:r>
          </w:p>
        </w:tc>
        <w:tc>
          <w:tcPr>
            <w:tcW w:w="234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大中型</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中小型</w:t>
            </w:r>
          </w:p>
        </w:tc>
        <w:tc>
          <w:tcPr>
            <w:tcW w:w="2344"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中小型</w:t>
            </w:r>
          </w:p>
        </w:tc>
      </w:tr>
    </w:tbl>
    <w:p>
      <w:pPr>
        <w:pStyle w:val="114"/>
        <w:spacing w:before="156" w:after="156"/>
      </w:pPr>
      <w:r>
        <w:rPr>
          <w:rFonts w:hint="eastAsia"/>
        </w:rPr>
        <w:t>不同驱动温度下的制冷系统COP特性</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3"/>
        <w:gridCol w:w="1563"/>
        <w:gridCol w:w="1562"/>
        <w:gridCol w:w="1562"/>
        <w:gridCol w:w="1562"/>
        <w:gridCol w:w="15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1563" w:type="dxa"/>
            <w:vMerge w:val="restart"/>
            <w:tcBorders>
              <w:top w:val="single" w:color="auto" w:sz="8" w:space="0"/>
            </w:tcBorders>
            <w:shd w:val="clear" w:color="auto" w:fill="auto"/>
            <w:vAlign w:val="center"/>
          </w:tcPr>
          <w:p>
            <w:pPr>
              <w:pStyle w:val="180"/>
            </w:pPr>
            <w:r>
              <w:rPr>
                <w:rFonts w:hint="eastAsia"/>
              </w:rPr>
              <w:t>冷量特点</w:t>
            </w:r>
          </w:p>
        </w:tc>
        <w:tc>
          <w:tcPr>
            <w:tcW w:w="7811" w:type="dxa"/>
            <w:gridSpan w:val="5"/>
            <w:tcBorders>
              <w:top w:val="single" w:color="auto" w:sz="8" w:space="0"/>
              <w:bottom w:val="single" w:color="auto" w:sz="8" w:space="0"/>
            </w:tcBorders>
            <w:shd w:val="clear" w:color="auto" w:fill="auto"/>
            <w:vAlign w:val="center"/>
          </w:tcPr>
          <w:p>
            <w:pPr>
              <w:pStyle w:val="180"/>
            </w:pPr>
            <w:r>
              <w:rPr>
                <w:rFonts w:hint="eastAsia"/>
              </w:rPr>
              <w:t>驱动温度/℃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vMerge w:val="continue"/>
            <w:shd w:val="clear" w:color="auto" w:fill="auto"/>
            <w:vAlign w:val="center"/>
          </w:tcPr>
          <w:p>
            <w:pPr>
              <w:pStyle w:val="180"/>
            </w:pPr>
          </w:p>
        </w:tc>
        <w:tc>
          <w:tcPr>
            <w:tcW w:w="1563" w:type="dxa"/>
            <w:tcBorders>
              <w:top w:val="single" w:color="auto" w:sz="8" w:space="0"/>
            </w:tcBorders>
            <w:shd w:val="clear" w:color="auto" w:fill="auto"/>
            <w:vAlign w:val="center"/>
          </w:tcPr>
          <w:p>
            <w:pPr>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60</w:t>
            </w:r>
            <w:r>
              <w:rPr>
                <w:rFonts w:hint="eastAsia" w:ascii="宋体" w:hAnsi="宋体"/>
                <w:color w:val="000000"/>
                <w:kern w:val="0"/>
                <w:sz w:val="18"/>
                <w:szCs w:val="18"/>
              </w:rPr>
              <w:t>～</w:t>
            </w:r>
            <w:r>
              <w:rPr>
                <w:rFonts w:ascii="宋体" w:hAnsi="宋体"/>
                <w:color w:val="000000"/>
                <w:kern w:val="0"/>
                <w:sz w:val="18"/>
                <w:szCs w:val="18"/>
              </w:rPr>
              <w:t>80</w:t>
            </w:r>
          </w:p>
        </w:tc>
        <w:tc>
          <w:tcPr>
            <w:tcW w:w="1562" w:type="dxa"/>
            <w:tcBorders>
              <w:top w:val="single" w:color="auto" w:sz="8" w:space="0"/>
            </w:tcBorders>
            <w:shd w:val="clear" w:color="auto" w:fill="auto"/>
            <w:vAlign w:val="center"/>
          </w:tcPr>
          <w:p>
            <w:pPr>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80</w:t>
            </w:r>
            <w:r>
              <w:rPr>
                <w:rFonts w:hint="eastAsia" w:ascii="宋体" w:hAnsi="宋体"/>
                <w:color w:val="000000"/>
                <w:kern w:val="0"/>
                <w:sz w:val="18"/>
                <w:szCs w:val="18"/>
              </w:rPr>
              <w:t>～</w:t>
            </w:r>
            <w:r>
              <w:rPr>
                <w:rFonts w:ascii="宋体" w:hAnsi="宋体"/>
                <w:color w:val="000000"/>
                <w:kern w:val="0"/>
                <w:sz w:val="18"/>
                <w:szCs w:val="18"/>
              </w:rPr>
              <w:t>1</w:t>
            </w:r>
            <w:r>
              <w:rPr>
                <w:rFonts w:hint="eastAsia" w:ascii="宋体" w:hAnsi="宋体"/>
                <w:color w:val="000000"/>
                <w:kern w:val="0"/>
                <w:sz w:val="18"/>
                <w:szCs w:val="18"/>
              </w:rPr>
              <w:t>0</w:t>
            </w:r>
            <w:r>
              <w:rPr>
                <w:rFonts w:ascii="宋体" w:hAnsi="宋体"/>
                <w:color w:val="000000"/>
                <w:kern w:val="0"/>
                <w:sz w:val="18"/>
                <w:szCs w:val="18"/>
              </w:rPr>
              <w:t>0</w:t>
            </w:r>
          </w:p>
        </w:tc>
        <w:tc>
          <w:tcPr>
            <w:tcW w:w="1562" w:type="dxa"/>
            <w:tcBorders>
              <w:top w:val="single" w:color="auto" w:sz="8" w:space="0"/>
            </w:tcBorders>
            <w:shd w:val="clear" w:color="auto" w:fill="auto"/>
            <w:vAlign w:val="center"/>
          </w:tcPr>
          <w:p>
            <w:pPr>
              <w:adjustRightInd/>
              <w:spacing w:line="240" w:lineRule="auto"/>
              <w:jc w:val="center"/>
              <w:textAlignment w:val="center"/>
              <w:rPr>
                <w:rFonts w:ascii="宋体" w:hAnsi="宋体"/>
                <w:color w:val="000000"/>
                <w:sz w:val="18"/>
                <w:szCs w:val="18"/>
              </w:rPr>
            </w:pPr>
            <w:r>
              <w:rPr>
                <w:rFonts w:hint="eastAsia" w:ascii="宋体" w:hAnsi="宋体"/>
                <w:color w:val="000000"/>
                <w:sz w:val="18"/>
                <w:szCs w:val="18"/>
              </w:rPr>
              <w:t>100～130</w:t>
            </w:r>
          </w:p>
        </w:tc>
        <w:tc>
          <w:tcPr>
            <w:tcW w:w="1562" w:type="dxa"/>
            <w:tcBorders>
              <w:top w:val="single" w:color="auto" w:sz="8" w:space="0"/>
            </w:tcBorders>
            <w:shd w:val="clear" w:color="auto" w:fill="auto"/>
            <w:vAlign w:val="center"/>
          </w:tcPr>
          <w:p>
            <w:pPr>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130</w:t>
            </w:r>
            <w:r>
              <w:rPr>
                <w:rFonts w:hint="eastAsia" w:ascii="宋体" w:hAnsi="宋体"/>
                <w:color w:val="000000"/>
                <w:kern w:val="0"/>
                <w:sz w:val="18"/>
                <w:szCs w:val="18"/>
              </w:rPr>
              <w:t>～</w:t>
            </w:r>
            <w:r>
              <w:rPr>
                <w:rFonts w:ascii="宋体" w:hAnsi="宋体"/>
                <w:color w:val="000000"/>
                <w:kern w:val="0"/>
                <w:sz w:val="18"/>
                <w:szCs w:val="18"/>
              </w:rPr>
              <w:t>180</w:t>
            </w:r>
          </w:p>
        </w:tc>
        <w:tc>
          <w:tcPr>
            <w:tcW w:w="1562" w:type="dxa"/>
            <w:tcBorders>
              <w:top w:val="single" w:color="auto" w:sz="8" w:space="0"/>
            </w:tcBorders>
            <w:shd w:val="clear" w:color="auto" w:fill="auto"/>
            <w:vAlign w:val="center"/>
          </w:tcPr>
          <w:p>
            <w:pPr>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180</w:t>
            </w:r>
            <w:r>
              <w:rPr>
                <w:rFonts w:hint="eastAsia" w:ascii="宋体" w:hAnsi="宋体"/>
                <w:color w:val="000000"/>
                <w:kern w:val="0"/>
                <w:sz w:val="18"/>
                <w:szCs w:val="18"/>
              </w:rPr>
              <w:t>～</w:t>
            </w:r>
            <w:r>
              <w:rPr>
                <w:rFonts w:ascii="宋体" w:hAnsi="宋体"/>
                <w:color w:val="000000"/>
                <w:kern w:val="0"/>
                <w:sz w:val="18"/>
                <w:szCs w:val="18"/>
              </w:rPr>
              <w:t>250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vMerge w:val="continue"/>
            <w:shd w:val="clear" w:color="auto" w:fill="auto"/>
            <w:vAlign w:val="center"/>
          </w:tcPr>
          <w:p>
            <w:pPr>
              <w:pStyle w:val="180"/>
            </w:pPr>
          </w:p>
        </w:tc>
        <w:tc>
          <w:tcPr>
            <w:tcW w:w="7811" w:type="dxa"/>
            <w:gridSpan w:val="5"/>
            <w:shd w:val="clear" w:color="auto" w:fill="auto"/>
            <w:vAlign w:val="center"/>
          </w:tcPr>
          <w:p>
            <w:pPr>
              <w:pStyle w:val="180"/>
            </w:pPr>
            <w:r>
              <w:rPr>
                <w:rFonts w:hint="eastAsia"/>
              </w:rPr>
              <w:t>COP特性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吸收</w:t>
            </w:r>
            <w:r>
              <w:rPr>
                <w:rFonts w:hint="eastAsia" w:ascii="宋体" w:hAnsi="宋体"/>
                <w:color w:val="000000"/>
                <w:kern w:val="0"/>
                <w:sz w:val="18"/>
                <w:szCs w:val="18"/>
              </w:rPr>
              <w:t>型</w:t>
            </w:r>
          </w:p>
        </w:tc>
        <w:tc>
          <w:tcPr>
            <w:tcW w:w="1563"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sz w:val="18"/>
                <w:szCs w:val="18"/>
              </w:rPr>
              <w:t>-</w:t>
            </w:r>
          </w:p>
        </w:tc>
        <w:tc>
          <w:tcPr>
            <w:tcW w:w="1562"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0.</w:t>
            </w:r>
            <w:r>
              <w:rPr>
                <w:rFonts w:hint="eastAsia" w:ascii="宋体" w:hAnsi="宋体"/>
                <w:color w:val="000000"/>
                <w:kern w:val="0"/>
                <w:sz w:val="18"/>
                <w:szCs w:val="18"/>
              </w:rPr>
              <w:t>6～0.8（单效）</w:t>
            </w:r>
          </w:p>
        </w:tc>
        <w:tc>
          <w:tcPr>
            <w:tcW w:w="1562"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0.9～</w:t>
            </w:r>
            <w:r>
              <w:rPr>
                <w:rFonts w:ascii="宋体" w:hAnsi="宋体"/>
                <w:color w:val="000000"/>
                <w:kern w:val="0"/>
                <w:sz w:val="18"/>
                <w:szCs w:val="18"/>
              </w:rPr>
              <w:t>1.</w:t>
            </w:r>
            <w:r>
              <w:rPr>
                <w:rFonts w:hint="eastAsia" w:ascii="宋体" w:hAnsi="宋体"/>
                <w:color w:val="000000"/>
                <w:kern w:val="0"/>
                <w:sz w:val="18"/>
                <w:szCs w:val="18"/>
              </w:rPr>
              <w:t>2（双效）</w:t>
            </w:r>
          </w:p>
        </w:tc>
        <w:tc>
          <w:tcPr>
            <w:tcW w:w="1562"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hint="eastAsia" w:ascii="宋体" w:hAnsi="宋体"/>
                <w:color w:val="000000"/>
                <w:kern w:val="0"/>
                <w:sz w:val="18"/>
                <w:szCs w:val="18"/>
              </w:rPr>
              <w:t>1.2～</w:t>
            </w:r>
            <w:r>
              <w:rPr>
                <w:rFonts w:ascii="宋体" w:hAnsi="宋体"/>
                <w:color w:val="000000"/>
                <w:kern w:val="0"/>
                <w:sz w:val="18"/>
                <w:szCs w:val="18"/>
              </w:rPr>
              <w:t>1.</w:t>
            </w:r>
            <w:r>
              <w:rPr>
                <w:rFonts w:hint="eastAsia" w:ascii="宋体" w:hAnsi="宋体"/>
                <w:color w:val="000000"/>
                <w:kern w:val="0"/>
                <w:sz w:val="18"/>
                <w:szCs w:val="18"/>
              </w:rPr>
              <w:t>6（三效）</w:t>
            </w:r>
          </w:p>
        </w:tc>
        <w:tc>
          <w:tcPr>
            <w:tcW w:w="1562" w:type="dxa"/>
            <w:shd w:val="clear" w:color="auto" w:fill="auto"/>
            <w:vAlign w:val="center"/>
          </w:tcPr>
          <w:p>
            <w:pPr>
              <w:widowControl/>
              <w:adjustRightInd/>
              <w:spacing w:line="240" w:lineRule="auto"/>
              <w:jc w:val="center"/>
              <w:textAlignment w:val="center"/>
              <w:rPr>
                <w:rFonts w:ascii="宋体" w:hAnsi="宋体"/>
                <w:color w:val="000000"/>
                <w:kern w:val="0"/>
                <w:sz w:val="18"/>
                <w:szCs w:val="18"/>
              </w:rPr>
            </w:pPr>
            <w:r>
              <w:rPr>
                <w:rFonts w:ascii="宋体" w:hAnsi="宋体"/>
                <w:color w:val="000000"/>
                <w:kern w:val="0"/>
                <w:sz w:val="18"/>
                <w:szCs w:val="18"/>
              </w:rPr>
              <w:t>≥1.</w:t>
            </w:r>
            <w:r>
              <w:rPr>
                <w:rFonts w:hint="eastAsia" w:ascii="宋体" w:hAnsi="宋体"/>
                <w:color w:val="000000"/>
                <w:kern w:val="0"/>
                <w:sz w:val="18"/>
                <w:szCs w:val="18"/>
              </w:rPr>
              <w:t>6（多效）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吸附</w:t>
            </w:r>
            <w:r>
              <w:rPr>
                <w:rFonts w:hint="eastAsia" w:ascii="宋体" w:hAnsi="宋体"/>
                <w:color w:val="000000"/>
                <w:kern w:val="0"/>
                <w:sz w:val="18"/>
                <w:szCs w:val="18"/>
              </w:rPr>
              <w:t>型</w:t>
            </w:r>
          </w:p>
        </w:tc>
        <w:tc>
          <w:tcPr>
            <w:tcW w:w="1563" w:type="dxa"/>
            <w:shd w:val="clear" w:color="auto" w:fill="auto"/>
            <w:vAlign w:val="center"/>
          </w:tcPr>
          <w:p>
            <w:pPr>
              <w:widowControl/>
              <w:adjustRightInd/>
              <w:spacing w:line="240" w:lineRule="auto"/>
              <w:jc w:val="center"/>
              <w:textAlignment w:val="center"/>
              <w:rPr>
                <w:rFonts w:ascii="宋体" w:hAnsi="宋体"/>
                <w:sz w:val="18"/>
                <w:szCs w:val="18"/>
              </w:rPr>
            </w:pPr>
            <w:r>
              <w:rPr>
                <w:rFonts w:ascii="宋体" w:hAnsi="宋体"/>
                <w:sz w:val="18"/>
                <w:szCs w:val="18"/>
              </w:rPr>
              <w:t>0.4</w:t>
            </w:r>
            <w:r>
              <w:rPr>
                <w:rFonts w:hint="eastAsia" w:ascii="宋体" w:hAnsi="宋体"/>
                <w:color w:val="000000"/>
                <w:kern w:val="0"/>
                <w:sz w:val="18"/>
                <w:szCs w:val="18"/>
              </w:rPr>
              <w:t>～</w:t>
            </w:r>
            <w:r>
              <w:rPr>
                <w:rFonts w:ascii="宋体" w:hAnsi="宋体"/>
                <w:sz w:val="18"/>
                <w:szCs w:val="18"/>
              </w:rPr>
              <w:t>0.</w:t>
            </w:r>
            <w:r>
              <w:rPr>
                <w:rFonts w:hint="eastAsia" w:ascii="宋体" w:hAnsi="宋体"/>
                <w:sz w:val="18"/>
                <w:szCs w:val="18"/>
              </w:rPr>
              <w:t>6</w:t>
            </w:r>
          </w:p>
        </w:tc>
        <w:tc>
          <w:tcPr>
            <w:tcW w:w="3124" w:type="dxa"/>
            <w:gridSpan w:val="2"/>
            <w:shd w:val="clear" w:color="auto" w:fill="auto"/>
            <w:vAlign w:val="center"/>
          </w:tcPr>
          <w:p>
            <w:pPr>
              <w:widowControl/>
              <w:adjustRightInd/>
              <w:spacing w:line="240" w:lineRule="auto"/>
              <w:jc w:val="center"/>
              <w:textAlignment w:val="center"/>
              <w:rPr>
                <w:rFonts w:ascii="宋体" w:hAnsi="宋体"/>
                <w:sz w:val="18"/>
                <w:szCs w:val="18"/>
              </w:rPr>
            </w:pPr>
            <w:r>
              <w:rPr>
                <w:rFonts w:ascii="宋体" w:hAnsi="宋体"/>
                <w:sz w:val="18"/>
                <w:szCs w:val="18"/>
              </w:rPr>
              <w:t>0.6</w:t>
            </w:r>
            <w:r>
              <w:rPr>
                <w:rFonts w:hint="eastAsia" w:ascii="宋体" w:hAnsi="宋体"/>
                <w:color w:val="000000"/>
                <w:kern w:val="0"/>
                <w:sz w:val="18"/>
                <w:szCs w:val="18"/>
              </w:rPr>
              <w:t>～</w:t>
            </w:r>
            <w:r>
              <w:rPr>
                <w:rFonts w:ascii="宋体" w:hAnsi="宋体"/>
                <w:sz w:val="18"/>
                <w:szCs w:val="18"/>
              </w:rPr>
              <w:t>1.0</w:t>
            </w:r>
          </w:p>
        </w:tc>
        <w:tc>
          <w:tcPr>
            <w:tcW w:w="1562"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sz w:val="18"/>
                <w:szCs w:val="18"/>
              </w:rPr>
              <w:t>-</w:t>
            </w:r>
          </w:p>
        </w:tc>
        <w:tc>
          <w:tcPr>
            <w:tcW w:w="1562"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kern w:val="0"/>
                <w:sz w:val="18"/>
                <w:szCs w:val="18"/>
              </w:rPr>
              <w:t>除湿</w:t>
            </w:r>
            <w:r>
              <w:rPr>
                <w:rFonts w:hint="eastAsia" w:ascii="宋体" w:hAnsi="宋体"/>
                <w:color w:val="000000"/>
                <w:kern w:val="0"/>
                <w:sz w:val="18"/>
                <w:szCs w:val="18"/>
              </w:rPr>
              <w:t>型</w:t>
            </w:r>
          </w:p>
        </w:tc>
        <w:tc>
          <w:tcPr>
            <w:tcW w:w="1563" w:type="dxa"/>
            <w:shd w:val="clear" w:color="auto" w:fill="auto"/>
            <w:vAlign w:val="center"/>
          </w:tcPr>
          <w:p>
            <w:pPr>
              <w:widowControl/>
              <w:adjustRightInd/>
              <w:spacing w:line="240" w:lineRule="auto"/>
              <w:jc w:val="center"/>
              <w:textAlignment w:val="center"/>
              <w:rPr>
                <w:rFonts w:ascii="宋体" w:hAnsi="宋体"/>
                <w:sz w:val="18"/>
                <w:szCs w:val="18"/>
              </w:rPr>
            </w:pPr>
            <w:r>
              <w:rPr>
                <w:rFonts w:ascii="宋体" w:hAnsi="宋体"/>
                <w:sz w:val="18"/>
                <w:szCs w:val="18"/>
              </w:rPr>
              <w:t>0.4</w:t>
            </w:r>
            <w:r>
              <w:rPr>
                <w:rFonts w:hint="eastAsia" w:ascii="宋体" w:hAnsi="宋体"/>
                <w:color w:val="000000"/>
                <w:kern w:val="0"/>
                <w:sz w:val="18"/>
                <w:szCs w:val="18"/>
              </w:rPr>
              <w:t>～</w:t>
            </w:r>
            <w:r>
              <w:rPr>
                <w:rFonts w:ascii="宋体" w:hAnsi="宋体"/>
                <w:sz w:val="18"/>
                <w:szCs w:val="18"/>
              </w:rPr>
              <w:t>0.</w:t>
            </w:r>
            <w:r>
              <w:rPr>
                <w:rFonts w:hint="eastAsia" w:ascii="宋体" w:hAnsi="宋体"/>
                <w:sz w:val="18"/>
                <w:szCs w:val="18"/>
              </w:rPr>
              <w:t>6</w:t>
            </w:r>
          </w:p>
        </w:tc>
        <w:tc>
          <w:tcPr>
            <w:tcW w:w="3124" w:type="dxa"/>
            <w:gridSpan w:val="2"/>
            <w:shd w:val="clear" w:color="auto" w:fill="auto"/>
            <w:vAlign w:val="center"/>
          </w:tcPr>
          <w:p>
            <w:pPr>
              <w:widowControl/>
              <w:adjustRightInd/>
              <w:spacing w:line="240" w:lineRule="auto"/>
              <w:jc w:val="center"/>
              <w:textAlignment w:val="center"/>
              <w:rPr>
                <w:rFonts w:ascii="宋体" w:hAnsi="宋体"/>
                <w:sz w:val="18"/>
                <w:szCs w:val="18"/>
              </w:rPr>
            </w:pPr>
            <w:r>
              <w:rPr>
                <w:rFonts w:ascii="宋体" w:hAnsi="宋体"/>
                <w:sz w:val="18"/>
                <w:szCs w:val="18"/>
              </w:rPr>
              <w:t>0.6</w:t>
            </w:r>
            <w:r>
              <w:rPr>
                <w:rFonts w:hint="eastAsia" w:ascii="宋体" w:hAnsi="宋体"/>
                <w:color w:val="000000"/>
                <w:kern w:val="0"/>
                <w:sz w:val="18"/>
                <w:szCs w:val="18"/>
              </w:rPr>
              <w:t>～</w:t>
            </w:r>
            <w:r>
              <w:rPr>
                <w:rFonts w:ascii="宋体" w:hAnsi="宋体"/>
                <w:sz w:val="18"/>
                <w:szCs w:val="18"/>
              </w:rPr>
              <w:t>1.0</w:t>
            </w:r>
          </w:p>
        </w:tc>
        <w:tc>
          <w:tcPr>
            <w:tcW w:w="1562"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sz w:val="18"/>
                <w:szCs w:val="18"/>
              </w:rPr>
              <w:t>-</w:t>
            </w:r>
          </w:p>
        </w:tc>
        <w:tc>
          <w:tcPr>
            <w:tcW w:w="1562" w:type="dxa"/>
            <w:shd w:val="clear" w:color="auto" w:fill="auto"/>
            <w:vAlign w:val="center"/>
          </w:tcPr>
          <w:p>
            <w:pPr>
              <w:widowControl/>
              <w:adjustRightInd/>
              <w:spacing w:line="240" w:lineRule="auto"/>
              <w:jc w:val="center"/>
              <w:textAlignment w:val="center"/>
              <w:rPr>
                <w:rFonts w:ascii="宋体" w:hAnsi="宋体"/>
                <w:color w:val="000000"/>
                <w:sz w:val="18"/>
                <w:szCs w:val="18"/>
              </w:rPr>
            </w:pPr>
            <w:r>
              <w:rPr>
                <w:rFonts w:ascii="宋体" w:hAnsi="宋体"/>
                <w:color w:val="000000"/>
                <w:sz w:val="18"/>
                <w:szCs w:val="18"/>
              </w:rPr>
              <w:t>-</w:t>
            </w:r>
          </w:p>
        </w:tc>
      </w:tr>
    </w:tbl>
    <w:p>
      <w:pPr>
        <w:pStyle w:val="107"/>
        <w:spacing w:before="156" w:after="156"/>
      </w:pPr>
      <w:bookmarkStart w:id="124" w:name="_Toc178339497"/>
      <w:bookmarkStart w:id="125" w:name="_Toc22404"/>
      <w:bookmarkStart w:id="126" w:name="_Toc2678"/>
      <w:bookmarkStart w:id="127" w:name="_Toc171601722"/>
      <w:bookmarkStart w:id="128" w:name="_Toc178345009"/>
      <w:r>
        <w:rPr>
          <w:rFonts w:hint="eastAsia"/>
        </w:rPr>
        <w:t>蓄冷系统</w:t>
      </w:r>
      <w:bookmarkEnd w:id="124"/>
      <w:bookmarkEnd w:id="125"/>
      <w:bookmarkEnd w:id="126"/>
      <w:bookmarkEnd w:id="127"/>
      <w:bookmarkEnd w:id="128"/>
    </w:p>
    <w:p>
      <w:pPr>
        <w:pStyle w:val="167"/>
      </w:pPr>
      <w:r>
        <w:rPr>
          <w:rFonts w:hint="eastAsia"/>
        </w:rPr>
        <w:t>设计时，应计算一个蓄冷—释冷周期的逐时冷负荷，并根据蓄冷—释冷周期内冷负荷曲线、制冷系统能力等因素，经综合比较后确定采用全负荷蓄冷或分负荷蓄冷。</w:t>
      </w:r>
    </w:p>
    <w:p>
      <w:pPr>
        <w:pStyle w:val="167"/>
      </w:pPr>
      <w:r>
        <w:rPr>
          <w:rFonts w:hint="eastAsia"/>
        </w:rPr>
        <w:t>蓄冷量应保证在设计蓄冷时段内完成全部预定的冷量蓄存，同时兼顾经济性。</w:t>
      </w:r>
    </w:p>
    <w:p>
      <w:pPr>
        <w:pStyle w:val="167"/>
      </w:pPr>
      <w:r>
        <w:rPr>
          <w:rFonts w:hint="eastAsia"/>
        </w:rPr>
        <w:t>蓄冷和释冷特性应满足蓄冷末端的需求 。</w:t>
      </w:r>
    </w:p>
    <w:p>
      <w:pPr>
        <w:pStyle w:val="167"/>
      </w:pPr>
      <w:r>
        <w:rPr>
          <w:rFonts w:hint="eastAsia"/>
        </w:rPr>
        <w:t>对于日温差较大的地区，宜采用冷却水蓄冷。</w:t>
      </w:r>
    </w:p>
    <w:p>
      <w:pPr>
        <w:pStyle w:val="167"/>
      </w:pPr>
      <w:r>
        <w:rPr>
          <w:rFonts w:hint="eastAsia"/>
        </w:rPr>
        <w:t>系统应符合GB/T 25859、SB/T 10343的要求。</w:t>
      </w:r>
    </w:p>
    <w:p>
      <w:pPr>
        <w:pStyle w:val="107"/>
        <w:spacing w:before="156" w:after="156"/>
      </w:pPr>
      <w:bookmarkStart w:id="129" w:name="_Toc22307"/>
      <w:bookmarkStart w:id="130" w:name="_Toc31235"/>
      <w:bookmarkStart w:id="131" w:name="_Toc178345010"/>
      <w:bookmarkStart w:id="132" w:name="_Toc171601723"/>
      <w:bookmarkStart w:id="133" w:name="_Toc178339498"/>
      <w:r>
        <w:rPr>
          <w:rFonts w:hint="eastAsia"/>
        </w:rPr>
        <w:t>辅助冷源系统</w:t>
      </w:r>
      <w:bookmarkEnd w:id="129"/>
      <w:bookmarkEnd w:id="130"/>
      <w:bookmarkEnd w:id="131"/>
      <w:bookmarkEnd w:id="132"/>
      <w:bookmarkEnd w:id="133"/>
    </w:p>
    <w:p>
      <w:pPr>
        <w:pStyle w:val="167"/>
      </w:pPr>
      <w:r>
        <w:rPr>
          <w:rFonts w:hint="eastAsia"/>
        </w:rPr>
        <w:t>宜根据系统制冷负荷要求，配备机械压缩式制冷等辅助冷源系统，以实现太阳辐照资源不足时单独供冷，机组参数经技术经济分析后确定。</w:t>
      </w:r>
    </w:p>
    <w:p>
      <w:pPr>
        <w:pStyle w:val="167"/>
      </w:pPr>
      <w:r>
        <w:rPr>
          <w:rFonts w:hint="eastAsia"/>
        </w:rPr>
        <w:t>可按太阳能系统最不利的制冷能力，设计符合用冷需求的容量。</w:t>
      </w:r>
    </w:p>
    <w:p>
      <w:pPr>
        <w:pStyle w:val="167"/>
      </w:pPr>
      <w:r>
        <w:rPr>
          <w:rFonts w:hint="eastAsia"/>
        </w:rPr>
        <w:t>可向用户独立供冷，也可在电价较低时向蓄冷系统储冷。</w:t>
      </w:r>
    </w:p>
    <w:p>
      <w:pPr>
        <w:pStyle w:val="107"/>
        <w:spacing w:before="156" w:after="156"/>
      </w:pPr>
      <w:bookmarkStart w:id="134" w:name="_Toc8385"/>
      <w:bookmarkStart w:id="135" w:name="_Toc178345011"/>
      <w:bookmarkStart w:id="136" w:name="_Toc171601724"/>
      <w:bookmarkStart w:id="137" w:name="_Toc178339499"/>
      <w:bookmarkStart w:id="138" w:name="_Toc29165"/>
      <w:r>
        <w:rPr>
          <w:rFonts w:hint="eastAsia"/>
        </w:rPr>
        <w:t>电气与控制系统</w:t>
      </w:r>
      <w:bookmarkEnd w:id="134"/>
      <w:bookmarkEnd w:id="135"/>
      <w:bookmarkEnd w:id="136"/>
      <w:bookmarkEnd w:id="137"/>
      <w:bookmarkEnd w:id="138"/>
    </w:p>
    <w:p>
      <w:pPr>
        <w:pStyle w:val="67"/>
        <w:spacing w:before="156" w:after="156"/>
      </w:pPr>
      <w:r>
        <w:rPr>
          <w:rFonts w:hint="eastAsia"/>
        </w:rPr>
        <w:t>基本规定</w:t>
      </w:r>
    </w:p>
    <w:p>
      <w:pPr>
        <w:pStyle w:val="58"/>
        <w:ind w:firstLine="420"/>
      </w:pPr>
      <w:r>
        <w:rPr>
          <w:rFonts w:hint="eastAsia"/>
        </w:rPr>
        <w:t>应根据系统运行要求、控制原理及系统操控执行部件设计或选择控制系统，满足系统运行控制要求、安全保护要求及自动化运行控制要求，具体要求如下：</w:t>
      </w:r>
    </w:p>
    <w:p>
      <w:pPr>
        <w:pStyle w:val="176"/>
        <w:numPr>
          <w:ilvl w:val="0"/>
          <w:numId w:val="37"/>
        </w:numPr>
      </w:pPr>
      <w:r>
        <w:rPr>
          <w:rFonts w:hint="eastAsia"/>
        </w:rPr>
        <w:t>应能实现集热系统、热驱动制冷系统、蓄热系统、蓄冷系统、辅助热源系统、辅助冷源系统、换热调节系统等组成部分的控制协调及运行参数监测；</w:t>
      </w:r>
    </w:p>
    <w:p>
      <w:pPr>
        <w:pStyle w:val="176"/>
        <w:numPr>
          <w:ilvl w:val="0"/>
          <w:numId w:val="35"/>
        </w:numPr>
      </w:pPr>
      <w:r>
        <w:rPr>
          <w:rFonts w:hint="eastAsia"/>
        </w:rPr>
        <w:t>应具备防过热、防冻、抗风、故障报警等必要的监测和保护动作等基本功能；</w:t>
      </w:r>
    </w:p>
    <w:p>
      <w:pPr>
        <w:pStyle w:val="176"/>
        <w:numPr>
          <w:ilvl w:val="0"/>
          <w:numId w:val="35"/>
        </w:numPr>
      </w:pPr>
      <w:r>
        <w:rPr>
          <w:rFonts w:hint="eastAsia"/>
        </w:rPr>
        <w:t>应满足系统运行控制、安全防护，辅助热源、辅助冷源、储热系统、储冷系统切换、循环泵启停、系统故障报警、停电应急控制等要求，并应具有手动和自动模式；</w:t>
      </w:r>
    </w:p>
    <w:p>
      <w:pPr>
        <w:pStyle w:val="176"/>
        <w:numPr>
          <w:ilvl w:val="0"/>
          <w:numId w:val="35"/>
        </w:numPr>
      </w:pPr>
      <w:r>
        <w:rPr>
          <w:rFonts w:hint="eastAsia"/>
        </w:rPr>
        <w:t>宜采用集中控制，宜预留通信接口，远程控制时，应有就地控制和解除远程控制的措施；</w:t>
      </w:r>
    </w:p>
    <w:p>
      <w:pPr>
        <w:pStyle w:val="176"/>
        <w:numPr>
          <w:ilvl w:val="0"/>
          <w:numId w:val="35"/>
        </w:numPr>
      </w:pPr>
      <w:r>
        <w:rPr>
          <w:rFonts w:hint="eastAsia"/>
        </w:rPr>
        <w:t>电气控制设备应符合GB/T 3797 的有关规定，应设置备用电源。</w:t>
      </w:r>
    </w:p>
    <w:p>
      <w:pPr>
        <w:pStyle w:val="67"/>
        <w:spacing w:before="156" w:after="156"/>
      </w:pPr>
      <w:r>
        <w:rPr>
          <w:rFonts w:hint="eastAsia"/>
        </w:rPr>
        <w:t>控制性能</w:t>
      </w:r>
    </w:p>
    <w:p>
      <w:pPr>
        <w:pStyle w:val="58"/>
        <w:ind w:firstLine="420"/>
      </w:pPr>
      <w:r>
        <w:rPr>
          <w:rFonts w:hint="eastAsia"/>
        </w:rPr>
        <w:t>控制系统应保证系统的稳定运行，控制方式应简便、可靠、易于操作，具体要求如下：</w:t>
      </w:r>
    </w:p>
    <w:p>
      <w:pPr>
        <w:pStyle w:val="176"/>
        <w:numPr>
          <w:ilvl w:val="0"/>
          <w:numId w:val="38"/>
        </w:numPr>
      </w:pPr>
      <w:r>
        <w:rPr>
          <w:rFonts w:hint="eastAsia"/>
        </w:rPr>
        <w:t>当太阳能集热量富余时，宜优先选择进行蓄冷；</w:t>
      </w:r>
    </w:p>
    <w:p>
      <w:pPr>
        <w:pStyle w:val="176"/>
        <w:numPr>
          <w:ilvl w:val="0"/>
          <w:numId w:val="35"/>
        </w:numPr>
      </w:pPr>
      <w:r>
        <w:rPr>
          <w:rFonts w:hint="eastAsia"/>
        </w:rPr>
        <w:t>系统宜采用智能控制，应包含太阳辐照度较差不满足需求、太阳辐照度充足大于需求及太阳辐照频繁波动等典型工况下应采取的控制方式；</w:t>
      </w:r>
    </w:p>
    <w:p>
      <w:pPr>
        <w:pStyle w:val="176"/>
        <w:numPr>
          <w:ilvl w:val="0"/>
          <w:numId w:val="35"/>
        </w:numPr>
      </w:pPr>
      <w:r>
        <w:rPr>
          <w:rFonts w:hint="eastAsia"/>
        </w:rPr>
        <w:t>控制方式宜考虑系统经济性，根据冷热需求选择蓄热或蓄冷；</w:t>
      </w:r>
    </w:p>
    <w:p>
      <w:pPr>
        <w:pStyle w:val="176"/>
        <w:numPr>
          <w:ilvl w:val="0"/>
          <w:numId w:val="35"/>
        </w:numPr>
      </w:pPr>
      <w:r>
        <w:rPr>
          <w:rFonts w:hint="eastAsia"/>
        </w:rPr>
        <w:t>系统运行遇到故障时，应及时响应并发出警报，并采取相应的保护措施。</w:t>
      </w:r>
    </w:p>
    <w:p>
      <w:pPr>
        <w:pStyle w:val="67"/>
        <w:spacing w:before="156" w:after="156"/>
      </w:pPr>
      <w:r>
        <w:rPr>
          <w:rFonts w:hint="eastAsia"/>
        </w:rPr>
        <w:t>监测系统</w:t>
      </w:r>
    </w:p>
    <w:p>
      <w:pPr>
        <w:pStyle w:val="58"/>
        <w:ind w:firstLine="420"/>
      </w:pPr>
      <w:r>
        <w:rPr>
          <w:rFonts w:hint="eastAsia"/>
        </w:rPr>
        <w:t>监测系统可通过现场监控和远程监控两种方式实现，数据采集、数据传输和远程监测应符合GB/T 29724的规定。设置运行监测系统，记录各设备单元、仪器仪表等运行情况，至少应包括下列内容：</w:t>
      </w:r>
    </w:p>
    <w:p>
      <w:pPr>
        <w:pStyle w:val="176"/>
        <w:numPr>
          <w:ilvl w:val="0"/>
          <w:numId w:val="39"/>
        </w:numPr>
      </w:pPr>
      <w:r>
        <w:rPr>
          <w:rFonts w:hint="eastAsia"/>
        </w:rPr>
        <w:t>室外环境温度、辐照度和风速；</w:t>
      </w:r>
    </w:p>
    <w:p>
      <w:pPr>
        <w:pStyle w:val="176"/>
        <w:numPr>
          <w:ilvl w:val="0"/>
          <w:numId w:val="35"/>
        </w:numPr>
      </w:pPr>
      <w:r>
        <w:rPr>
          <w:rFonts w:hint="eastAsia"/>
        </w:rPr>
        <w:t>集热器进出口、换热器进出口、蓄热装置、蓄冷装置的温度；</w:t>
      </w:r>
    </w:p>
    <w:p>
      <w:pPr>
        <w:pStyle w:val="176"/>
        <w:numPr>
          <w:ilvl w:val="0"/>
          <w:numId w:val="35"/>
        </w:numPr>
      </w:pPr>
      <w:r>
        <w:rPr>
          <w:rFonts w:hint="eastAsia"/>
        </w:rPr>
        <w:t>供热温度；</w:t>
      </w:r>
    </w:p>
    <w:p>
      <w:pPr>
        <w:pStyle w:val="176"/>
        <w:numPr>
          <w:ilvl w:val="0"/>
          <w:numId w:val="35"/>
        </w:numPr>
      </w:pPr>
      <w:r>
        <w:rPr>
          <w:rFonts w:hint="eastAsia"/>
        </w:rPr>
        <w:t>传热工质循环流量和供热量；</w:t>
      </w:r>
    </w:p>
    <w:p>
      <w:pPr>
        <w:pStyle w:val="176"/>
        <w:numPr>
          <w:ilvl w:val="0"/>
          <w:numId w:val="35"/>
        </w:numPr>
      </w:pPr>
      <w:r>
        <w:rPr>
          <w:rFonts w:hint="eastAsia"/>
        </w:rPr>
        <w:t>系统耗电量；</w:t>
      </w:r>
    </w:p>
    <w:p>
      <w:pPr>
        <w:pStyle w:val="176"/>
        <w:numPr>
          <w:ilvl w:val="0"/>
          <w:numId w:val="35"/>
        </w:numPr>
      </w:pPr>
      <w:r>
        <w:rPr>
          <w:rFonts w:hint="eastAsia"/>
        </w:rPr>
        <w:t>储水箱、储油箱、膨胀箱的液位；</w:t>
      </w:r>
    </w:p>
    <w:p>
      <w:pPr>
        <w:pStyle w:val="176"/>
        <w:numPr>
          <w:ilvl w:val="0"/>
          <w:numId w:val="35"/>
        </w:numPr>
      </w:pPr>
      <w:r>
        <w:rPr>
          <w:rFonts w:hint="eastAsia"/>
        </w:rPr>
        <w:t>系统中太阳能集热器、泵、辅助热源等设备运行状态、</w:t>
      </w:r>
      <w:bookmarkStart w:id="186" w:name="_GoBack"/>
      <w:bookmarkEnd w:id="186"/>
      <w:r>
        <w:rPr>
          <w:rFonts w:hint="eastAsia"/>
        </w:rPr>
        <w:t>故障状态和运动状态参数；</w:t>
      </w:r>
    </w:p>
    <w:p>
      <w:pPr>
        <w:pStyle w:val="176"/>
        <w:numPr>
          <w:ilvl w:val="0"/>
          <w:numId w:val="35"/>
        </w:numPr>
      </w:pPr>
      <w:r>
        <w:rPr>
          <w:rFonts w:hint="eastAsia"/>
        </w:rPr>
        <w:t>辅助热源系统运行参数；</w:t>
      </w:r>
    </w:p>
    <w:p>
      <w:pPr>
        <w:pStyle w:val="176"/>
        <w:numPr>
          <w:ilvl w:val="0"/>
          <w:numId w:val="35"/>
        </w:numPr>
      </w:pPr>
      <w:r>
        <w:rPr>
          <w:rFonts w:hint="eastAsia"/>
        </w:rPr>
        <w:t>电气系统的运行参数；</w:t>
      </w:r>
    </w:p>
    <w:p>
      <w:pPr>
        <w:pStyle w:val="176"/>
        <w:numPr>
          <w:ilvl w:val="0"/>
          <w:numId w:val="35"/>
        </w:numPr>
      </w:pPr>
      <w:r>
        <w:rPr>
          <w:rFonts w:hint="eastAsia"/>
        </w:rPr>
        <w:t>报警防护。</w:t>
      </w:r>
    </w:p>
    <w:p>
      <w:pPr>
        <w:pStyle w:val="107"/>
        <w:spacing w:before="156" w:after="156"/>
      </w:pPr>
      <w:bookmarkStart w:id="139" w:name="_Toc171601725"/>
      <w:bookmarkStart w:id="140" w:name="_Toc178345012"/>
      <w:bookmarkStart w:id="141" w:name="_Toc178339500"/>
      <w:bookmarkStart w:id="142" w:name="_Toc5093"/>
      <w:bookmarkStart w:id="143" w:name="_Toc27690"/>
      <w:r>
        <w:rPr>
          <w:rFonts w:hint="eastAsia"/>
        </w:rPr>
        <w:t>其它设备</w:t>
      </w:r>
      <w:bookmarkEnd w:id="139"/>
      <w:bookmarkEnd w:id="140"/>
      <w:bookmarkEnd w:id="141"/>
      <w:bookmarkEnd w:id="142"/>
      <w:bookmarkEnd w:id="143"/>
    </w:p>
    <w:p>
      <w:pPr>
        <w:pStyle w:val="58"/>
        <w:ind w:firstLine="420"/>
      </w:pPr>
      <w:r>
        <w:rPr>
          <w:rFonts w:hint="eastAsia"/>
        </w:rPr>
        <w:t>换热器、循环泵、管路和阀门等通用设备设计和选型，应符合GB/T 151、GB 50495的规定。</w:t>
      </w:r>
    </w:p>
    <w:p>
      <w:pPr>
        <w:pStyle w:val="106"/>
        <w:spacing w:before="312" w:after="312"/>
      </w:pPr>
      <w:bookmarkStart w:id="144" w:name="_Toc3633"/>
      <w:bookmarkStart w:id="145" w:name="_Toc178345013"/>
      <w:bookmarkStart w:id="146" w:name="_Toc178339501"/>
      <w:bookmarkStart w:id="147" w:name="_Toc30322"/>
      <w:r>
        <w:rPr>
          <w:rFonts w:hint="eastAsia"/>
        </w:rPr>
        <w:t>系统性能评估方法</w:t>
      </w:r>
      <w:bookmarkEnd w:id="144"/>
      <w:bookmarkEnd w:id="145"/>
      <w:bookmarkEnd w:id="146"/>
      <w:bookmarkEnd w:id="147"/>
    </w:p>
    <w:p>
      <w:pPr>
        <w:pStyle w:val="58"/>
        <w:numPr>
          <w:ilvl w:val="255"/>
          <w:numId w:val="0"/>
        </w:numPr>
        <w:autoSpaceDE/>
        <w:autoSpaceDN/>
        <w:ind w:firstLine="420"/>
      </w:pPr>
      <w:r>
        <w:rPr>
          <w:rFonts w:hint="eastAsia"/>
        </w:rPr>
        <w:t>中温太阳能制冷空调系统性能测试试验方法按附录D进行。</w:t>
      </w:r>
    </w:p>
    <w:p>
      <w:pPr>
        <w:pStyle w:val="58"/>
        <w:numPr>
          <w:ilvl w:val="255"/>
          <w:numId w:val="0"/>
        </w:numPr>
        <w:autoSpaceDE/>
        <w:autoSpaceDN/>
        <w:ind w:firstLine="420"/>
        <w:rPr>
          <w:highlight w:val="yellow"/>
        </w:rPr>
      </w:pPr>
    </w:p>
    <w:p>
      <w:pPr>
        <w:pStyle w:val="58"/>
        <w:numPr>
          <w:ilvl w:val="255"/>
          <w:numId w:val="0"/>
        </w:numPr>
        <w:autoSpaceDE/>
        <w:autoSpaceDN/>
        <w:ind w:firstLine="200"/>
        <w:rPr>
          <w:highlight w:val="yellow"/>
        </w:rPr>
      </w:pPr>
    </w:p>
    <w:p>
      <w:pPr>
        <w:pStyle w:val="58"/>
        <w:numPr>
          <w:ilvl w:val="255"/>
          <w:numId w:val="0"/>
        </w:numPr>
        <w:autoSpaceDE/>
        <w:autoSpaceDN/>
        <w:ind w:firstLine="420"/>
        <w:rPr>
          <w:highlight w:val="yellow"/>
        </w:rPr>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0"/>
          <w:cols w:space="425" w:num="1"/>
          <w:formProt w:val="0"/>
          <w:docGrid w:type="lines" w:linePitch="312" w:charSpace="0"/>
        </w:sectPr>
      </w:pPr>
    </w:p>
    <w:bookmarkEnd w:id="28"/>
    <w:p>
      <w:pPr>
        <w:pStyle w:val="200"/>
        <w:rPr>
          <w:vanish w:val="0"/>
        </w:rPr>
      </w:pPr>
      <w:bookmarkStart w:id="148" w:name="BookMark5"/>
    </w:p>
    <w:p>
      <w:pPr>
        <w:pStyle w:val="201"/>
        <w:rPr>
          <w:vanish w:val="0"/>
        </w:rPr>
      </w:pPr>
    </w:p>
    <w:p>
      <w:pPr>
        <w:pStyle w:val="78"/>
        <w:spacing w:after="156"/>
        <w:rPr>
          <w:rFonts w:hint="eastAsia"/>
        </w:rPr>
      </w:pPr>
      <w:r>
        <w:br w:type="textWrapping"/>
      </w:r>
      <w:bookmarkStart w:id="149" w:name="_Toc178345014"/>
      <w:r>
        <w:rPr>
          <w:rFonts w:hint="eastAsia"/>
        </w:rPr>
        <w:t>（资料性）</w:t>
      </w:r>
      <w:r>
        <w:br w:type="textWrapping"/>
      </w:r>
      <w:r>
        <w:rPr>
          <w:rFonts w:hint="eastAsia"/>
        </w:rPr>
        <w:t>导热油特性参数表</w:t>
      </w:r>
      <w:bookmarkEnd w:id="149"/>
    </w:p>
    <w:p>
      <w:pPr>
        <w:pStyle w:val="58"/>
        <w:ind w:firstLine="420"/>
      </w:pPr>
      <w:bookmarkStart w:id="150" w:name="_Toc171601727"/>
      <w:r>
        <w:rPr>
          <w:rFonts w:hint="eastAsia"/>
        </w:rPr>
        <w:t>导热油特性参数见表A.1。</w:t>
      </w:r>
    </w:p>
    <w:p>
      <w:pPr>
        <w:pStyle w:val="79"/>
        <w:numPr>
          <w:ilvl w:val="1"/>
          <w:numId w:val="0"/>
        </w:numPr>
        <w:spacing w:before="156" w:after="156"/>
      </w:pPr>
      <w:r>
        <w:rPr>
          <w:rFonts w:hint="eastAsia"/>
        </w:rPr>
        <w:t>表A.1导热油特性参数表</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3"/>
        <w:gridCol w:w="1563"/>
        <w:gridCol w:w="1562"/>
        <w:gridCol w:w="1562"/>
        <w:gridCol w:w="1562"/>
        <w:gridCol w:w="1562"/>
      </w:tblGrid>
      <w:tr>
        <w:tblPrEx>
          <w:tblLayout w:type="fixed"/>
          <w:tblCellMar>
            <w:top w:w="0" w:type="dxa"/>
            <w:left w:w="0" w:type="dxa"/>
            <w:bottom w:w="0" w:type="dxa"/>
            <w:right w:w="0" w:type="dxa"/>
          </w:tblCellMar>
        </w:tblPrEx>
        <w:trPr>
          <w:tblHeader/>
          <w:jc w:val="center"/>
        </w:trPr>
        <w:tc>
          <w:tcPr>
            <w:tcW w:w="9374" w:type="dxa"/>
            <w:gridSpan w:val="6"/>
            <w:tcBorders>
              <w:top w:val="single" w:color="auto" w:sz="8" w:space="0"/>
              <w:bottom w:val="single" w:color="auto" w:sz="8" w:space="0"/>
            </w:tcBorders>
            <w:shd w:val="clear" w:color="auto" w:fill="auto"/>
            <w:vAlign w:val="center"/>
          </w:tcPr>
          <w:p>
            <w:pPr>
              <w:pStyle w:val="180"/>
            </w:pPr>
            <w:r>
              <w:t>DY-300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04" w:hRule="atLeast"/>
          <w:jc w:val="center"/>
        </w:trPr>
        <w:tc>
          <w:tcPr>
            <w:tcW w:w="156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cs="宋体"/>
                <w:kern w:val="0"/>
                <w:sz w:val="18"/>
                <w:szCs w:val="18"/>
              </w:rPr>
              <w:t>℃</w:t>
            </w:r>
          </w:p>
        </w:tc>
        <w:tc>
          <w:tcPr>
            <w:tcW w:w="156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1005</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15.60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0.4417</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1.8091</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229.54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50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990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5.54</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0.4363</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1.9008</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86.90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100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953</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1.95</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0.4224</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2.0846</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34.66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150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916</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1.01</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0.4024</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2.2592</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200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889</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0.66</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0.3986</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2.4338</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14.58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250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855</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0.50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0.3864</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2.6080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12.15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300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822</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0.45</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0.3743</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2.7825</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340</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797</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0.40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0.3647</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2.9220</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11.51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pStyle w:val="180"/>
            </w:pPr>
            <w:r>
              <w:t>DY-325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04" w:hRule="atLeast"/>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rPr>
                <w:rFonts w:ascii="宋体" w:hAnsi="宋体"/>
                <w:kern w:val="0"/>
                <w:sz w:val="18"/>
                <w:szCs w:val="18"/>
              </w:rPr>
            </w:pPr>
            <w:r>
              <w:rPr>
                <w:rFonts w:ascii="宋体" w:hAnsi="宋体"/>
                <w:sz w:val="18"/>
                <w:szCs w:val="18"/>
              </w:rPr>
              <w:t>20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1022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20.00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0.4342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1.7889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296.82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1007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6.60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0.4271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1.8841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73.06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972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2.10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0.4153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2.0666</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37.62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936</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0.4032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2.2395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21.60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910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0.67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0.3915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2.4124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14.86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874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0.50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0.3797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2.5853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12.25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845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0.368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2.7583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12.14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340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821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0.3584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2.8964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pStyle w:val="180"/>
            </w:pPr>
            <w:r>
              <w:t>DY-340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04" w:hRule="atLeast"/>
          <w:jc w:val="center"/>
        </w:trPr>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rPr>
                <w:rFonts w:ascii="宋体" w:hAnsi="宋体"/>
                <w:kern w:val="0"/>
                <w:sz w:val="18"/>
                <w:szCs w:val="18"/>
              </w:rPr>
            </w:pPr>
            <w:r>
              <w:rPr>
                <w:rFonts w:ascii="宋体" w:hAnsi="宋体"/>
                <w:sz w:val="18"/>
                <w:szCs w:val="18"/>
              </w:rPr>
              <w:t>20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962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5.80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0.4643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1.8514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83.26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949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2.70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0.4564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1.9510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41.56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912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1.27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0.4442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2.1378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878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0.73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0.4317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2.3166</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14.10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848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0.50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0.4191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2.4985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10.72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812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0.4061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2.6741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300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783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0.3936</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2.8533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10.43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rPr>
                <w:rFonts w:ascii="宋体" w:hAnsi="宋体"/>
                <w:kern w:val="0"/>
                <w:sz w:val="18"/>
                <w:szCs w:val="18"/>
              </w:rPr>
            </w:pPr>
            <w:r>
              <w:rPr>
                <w:rFonts w:ascii="宋体" w:hAnsi="宋体"/>
                <w:sz w:val="18"/>
                <w:szCs w:val="18"/>
              </w:rPr>
              <w:t>340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760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0.3834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2.9965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9.85</w:t>
            </w:r>
          </w:p>
        </w:tc>
      </w:tr>
    </w:tbl>
    <w:p>
      <w:pPr>
        <w:pStyle w:val="79"/>
        <w:numPr>
          <w:ilvl w:val="1"/>
          <w:numId w:val="0"/>
        </w:numPr>
        <w:spacing w:before="156" w:after="156"/>
      </w:pPr>
      <w:r>
        <w:rPr>
          <w:rFonts w:hint="eastAsia"/>
        </w:rPr>
        <w:t>表A.1导热油特性参数表（续）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3"/>
        <w:gridCol w:w="1563"/>
        <w:gridCol w:w="1562"/>
        <w:gridCol w:w="1562"/>
        <w:gridCol w:w="1562"/>
        <w:gridCol w:w="15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6"/>
            <w:tcBorders>
              <w:top w:val="single" w:color="auto" w:sz="8" w:space="0"/>
              <w:bottom w:val="single" w:color="auto" w:sz="8" w:space="0"/>
            </w:tcBorders>
            <w:shd w:val="clear" w:color="auto" w:fill="auto"/>
            <w:vAlign w:val="center"/>
          </w:tcPr>
          <w:p>
            <w:pPr>
              <w:pStyle w:val="180"/>
            </w:pPr>
            <w:r>
              <w:t>JD-300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80" w:hRule="atLeast"/>
          <w:jc w:val="center"/>
        </w:trPr>
        <w:tc>
          <w:tcPr>
            <w:tcW w:w="1563"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Ansi="宋体"/>
                <w:sz w:val="18"/>
                <w:szCs w:val="18"/>
              </w:rPr>
              <w:t>温度t</w:t>
            </w:r>
          </w:p>
          <w:p>
            <w:pPr>
              <w:pStyle w:val="232"/>
              <w:snapToGrid w:val="0"/>
              <w:spacing w:line="300" w:lineRule="atLeast"/>
              <w:ind w:firstLine="0" w:firstLineChars="0"/>
              <w:jc w:val="center"/>
              <w:rPr>
                <w:rFonts w:hAnsi="宋体"/>
                <w:sz w:val="18"/>
                <w:szCs w:val="18"/>
              </w:rPr>
            </w:pPr>
            <w:r>
              <w:rPr>
                <w:rFonts w:hint="eastAsia" w:hAnsi="宋体" w:cs="宋体"/>
                <w:sz w:val="18"/>
                <w:szCs w:val="18"/>
              </w:rPr>
              <w:t>℃</w:t>
            </w:r>
          </w:p>
        </w:tc>
        <w:tc>
          <w:tcPr>
            <w:tcW w:w="1563"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Ansi="宋体"/>
                <w:sz w:val="18"/>
                <w:szCs w:val="18"/>
              </w:rPr>
              <w:t>密度ρ</w:t>
            </w:r>
          </w:p>
          <w:p>
            <w:pPr>
              <w:pStyle w:val="232"/>
              <w:snapToGrid w:val="0"/>
              <w:spacing w:line="300" w:lineRule="atLeast"/>
              <w:ind w:firstLine="0" w:firstLineChars="0"/>
              <w:jc w:val="center"/>
              <w:rPr>
                <w:rFonts w:hAnsi="宋体"/>
                <w:sz w:val="18"/>
                <w:szCs w:val="18"/>
              </w:rPr>
            </w:pPr>
            <w:r>
              <w:rPr>
                <w:rFonts w:hAnsi="宋体"/>
                <w:sz w:val="18"/>
                <w:szCs w:val="18"/>
              </w:rPr>
              <w:t>kg/m</w:t>
            </w:r>
            <w:r>
              <w:rPr>
                <w:rFonts w:hAnsi="宋体"/>
                <w:sz w:val="18"/>
                <w:szCs w:val="18"/>
                <w:vertAlign w:val="superscript"/>
              </w:rPr>
              <w:t>3</w:t>
            </w:r>
          </w:p>
        </w:tc>
        <w:tc>
          <w:tcPr>
            <w:tcW w:w="1562"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int="eastAsia" w:hAnsi="宋体"/>
                <w:sz w:val="18"/>
                <w:szCs w:val="18"/>
              </w:rPr>
              <w:t>运动</w:t>
            </w:r>
            <w:r>
              <w:rPr>
                <w:rFonts w:hAnsi="宋体"/>
                <w:sz w:val="18"/>
                <w:szCs w:val="18"/>
              </w:rPr>
              <w:t>粘度</w:t>
            </w:r>
            <w:r>
              <w:rPr>
                <w:rFonts w:hint="eastAsia" w:ascii="仿宋_GB2312" w:eastAsia="仿宋_GB2312"/>
                <w:sz w:val="18"/>
                <w:szCs w:val="18"/>
              </w:rPr>
              <w:t>υ</w:t>
            </w:r>
          </w:p>
          <w:p>
            <w:pPr>
              <w:pStyle w:val="232"/>
              <w:snapToGrid w:val="0"/>
              <w:spacing w:line="300" w:lineRule="atLeast"/>
              <w:ind w:firstLine="0" w:firstLineChars="0"/>
              <w:jc w:val="center"/>
              <w:rPr>
                <w:rFonts w:hAnsi="宋体"/>
                <w:sz w:val="18"/>
                <w:szCs w:val="18"/>
              </w:rPr>
            </w:pPr>
            <w:r>
              <w:rPr>
                <w:rFonts w:hint="eastAsia" w:hAnsi="宋体"/>
                <w:sz w:val="18"/>
                <w:szCs w:val="18"/>
              </w:rPr>
              <w:t>10</w:t>
            </w:r>
            <w:r>
              <w:rPr>
                <w:rFonts w:hint="eastAsia" w:hAnsi="宋体"/>
                <w:sz w:val="18"/>
                <w:szCs w:val="18"/>
                <w:vertAlign w:val="superscript"/>
              </w:rPr>
              <w:t>-6</w:t>
            </w:r>
            <w:r>
              <w:rPr>
                <w:rFonts w:hAnsi="宋体"/>
                <w:sz w:val="18"/>
                <w:szCs w:val="18"/>
              </w:rPr>
              <w:t>m</w:t>
            </w:r>
            <w:r>
              <w:rPr>
                <w:rFonts w:hint="eastAsia" w:hAnsi="宋体"/>
                <w:sz w:val="18"/>
                <w:szCs w:val="18"/>
                <w:vertAlign w:val="superscript"/>
              </w:rPr>
              <w:t>2</w:t>
            </w:r>
            <w:r>
              <w:rPr>
                <w:rFonts w:hAnsi="宋体"/>
                <w:sz w:val="18"/>
                <w:szCs w:val="18"/>
              </w:rPr>
              <w:t>/</w:t>
            </w:r>
            <w:r>
              <w:rPr>
                <w:rFonts w:hint="eastAsia" w:hAnsi="宋体"/>
                <w:sz w:val="18"/>
                <w:szCs w:val="18"/>
              </w:rPr>
              <w:t>s</w:t>
            </w:r>
          </w:p>
        </w:tc>
        <w:tc>
          <w:tcPr>
            <w:tcW w:w="1562"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Ansi="宋体"/>
                <w:sz w:val="18"/>
                <w:szCs w:val="18"/>
              </w:rPr>
              <w:t>导热系数λ</w:t>
            </w:r>
          </w:p>
          <w:p>
            <w:pPr>
              <w:pStyle w:val="232"/>
              <w:snapToGrid w:val="0"/>
              <w:spacing w:line="300" w:lineRule="atLeast"/>
              <w:ind w:firstLine="0" w:firstLineChars="0"/>
              <w:jc w:val="center"/>
              <w:rPr>
                <w:rFonts w:hAnsi="宋体"/>
                <w:sz w:val="18"/>
                <w:szCs w:val="18"/>
              </w:rPr>
            </w:pPr>
            <w:r>
              <w:rPr>
                <w:rFonts w:hint="eastAsia" w:hAnsi="宋体"/>
                <w:sz w:val="18"/>
                <w:szCs w:val="18"/>
              </w:rPr>
              <w:t>k</w:t>
            </w:r>
            <w:r>
              <w:rPr>
                <w:rFonts w:hAnsi="宋体"/>
                <w:sz w:val="18"/>
                <w:szCs w:val="18"/>
              </w:rPr>
              <w:t>J/m·h·</w:t>
            </w:r>
            <w:r>
              <w:rPr>
                <w:rFonts w:hint="eastAsia" w:hAnsi="宋体" w:cs="宋体"/>
                <w:sz w:val="18"/>
                <w:szCs w:val="18"/>
              </w:rPr>
              <w:t>℃</w:t>
            </w:r>
          </w:p>
        </w:tc>
        <w:tc>
          <w:tcPr>
            <w:tcW w:w="1562"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Ansi="宋体"/>
                <w:sz w:val="18"/>
                <w:szCs w:val="18"/>
              </w:rPr>
              <w:t>比热</w:t>
            </w:r>
            <w:r>
              <w:rPr>
                <w:rFonts w:hint="eastAsia" w:hAnsi="宋体"/>
                <w:sz w:val="18"/>
                <w:szCs w:val="18"/>
              </w:rPr>
              <w:t>c</w:t>
            </w:r>
            <w:r>
              <w:rPr>
                <w:rFonts w:hAnsi="宋体"/>
                <w:sz w:val="18"/>
                <w:szCs w:val="18"/>
                <w:vertAlign w:val="subscript"/>
              </w:rPr>
              <w:t>p</w:t>
            </w:r>
          </w:p>
          <w:p>
            <w:pPr>
              <w:pStyle w:val="232"/>
              <w:snapToGrid w:val="0"/>
              <w:spacing w:line="300" w:lineRule="atLeast"/>
              <w:ind w:firstLine="0" w:firstLineChars="0"/>
              <w:jc w:val="center"/>
              <w:rPr>
                <w:rFonts w:hAnsi="宋体"/>
                <w:sz w:val="18"/>
                <w:szCs w:val="18"/>
              </w:rPr>
            </w:pPr>
            <w:r>
              <w:rPr>
                <w:rFonts w:hint="eastAsia" w:hAnsi="宋体"/>
                <w:sz w:val="18"/>
                <w:szCs w:val="18"/>
              </w:rPr>
              <w:t>k</w:t>
            </w:r>
            <w:r>
              <w:rPr>
                <w:rFonts w:hAnsi="宋体"/>
                <w:sz w:val="18"/>
                <w:szCs w:val="18"/>
              </w:rPr>
              <w:t>J/kg·</w:t>
            </w:r>
            <w:r>
              <w:rPr>
                <w:rFonts w:hint="eastAsia" w:hAnsi="宋体" w:cs="宋体"/>
                <w:sz w:val="18"/>
                <w:szCs w:val="18"/>
              </w:rPr>
              <w:t>℃</w:t>
            </w:r>
          </w:p>
        </w:tc>
        <w:tc>
          <w:tcPr>
            <w:tcW w:w="1562" w:type="dxa"/>
            <w:tcBorders>
              <w:top w:val="single" w:color="auto" w:sz="8" w:space="0"/>
            </w:tcBorders>
            <w:shd w:val="clear" w:color="auto" w:fill="auto"/>
            <w:vAlign w:val="center"/>
          </w:tcPr>
          <w:p>
            <w:pPr>
              <w:pStyle w:val="232"/>
              <w:snapToGrid w:val="0"/>
              <w:spacing w:line="300" w:lineRule="atLeast"/>
              <w:ind w:firstLine="0" w:firstLineChars="0"/>
              <w:jc w:val="center"/>
              <w:rPr>
                <w:rFonts w:hAnsi="宋体"/>
                <w:sz w:val="18"/>
                <w:szCs w:val="18"/>
              </w:rPr>
            </w:pPr>
            <w:r>
              <w:rPr>
                <w:rFonts w:hAnsi="宋体"/>
                <w:sz w:val="18"/>
                <w:szCs w:val="18"/>
              </w:rPr>
              <w:t>普朗特准则数Pr</w:t>
            </w:r>
          </w:p>
          <w:p>
            <w:pPr>
              <w:pStyle w:val="232"/>
              <w:snapToGrid w:val="0"/>
              <w:spacing w:line="300" w:lineRule="atLeast"/>
              <w:ind w:firstLine="0" w:firstLineChars="0"/>
              <w:jc w:val="center"/>
              <w:rPr>
                <w:rFonts w:hAnsi="宋体"/>
                <w:sz w:val="18"/>
                <w:szCs w:val="18"/>
              </w:rPr>
            </w:pPr>
            <w:r>
              <w:rPr>
                <w:rFonts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snapToGrid w:val="0"/>
              <w:spacing w:line="300" w:lineRule="atLeast"/>
              <w:jc w:val="center"/>
              <w:rPr>
                <w:rFonts w:ascii="宋体" w:hAnsi="宋体"/>
                <w:kern w:val="0"/>
                <w:sz w:val="18"/>
                <w:szCs w:val="18"/>
              </w:rPr>
            </w:pPr>
            <w:r>
              <w:rPr>
                <w:rFonts w:ascii="宋体" w:hAnsi="宋体"/>
                <w:sz w:val="18"/>
                <w:szCs w:val="18"/>
              </w:rPr>
              <w:t>130</w:t>
            </w:r>
          </w:p>
        </w:tc>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807</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3.72</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0.425</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2.386</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60.6737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170</w:t>
            </w:r>
          </w:p>
        </w:tc>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788</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2.07</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0.403</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2.604</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37.9433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210</w:t>
            </w:r>
          </w:p>
        </w:tc>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765</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1.48</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0.385</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2.881</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30.5006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250</w:t>
            </w:r>
          </w:p>
        </w:tc>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744</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1.25</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0.367</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3.220</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29.3748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290</w:t>
            </w:r>
          </w:p>
        </w:tc>
        <w:tc>
          <w:tcPr>
            <w:tcW w:w="1563"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723</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1.01</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0.346</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3.680</w:t>
            </w:r>
          </w:p>
        </w:tc>
        <w:tc>
          <w:tcPr>
            <w:tcW w:w="1562" w:type="dxa"/>
            <w:shd w:val="clear" w:color="auto" w:fill="auto"/>
            <w:vAlign w:val="center"/>
          </w:tcPr>
          <w:p>
            <w:pPr>
              <w:snapToGrid w:val="0"/>
              <w:spacing w:line="300" w:lineRule="atLeast"/>
              <w:jc w:val="center"/>
              <w:rPr>
                <w:rFonts w:ascii="宋体" w:hAnsi="宋体"/>
                <w:sz w:val="18"/>
                <w:szCs w:val="18"/>
              </w:rPr>
            </w:pPr>
            <w:r>
              <w:rPr>
                <w:rFonts w:ascii="宋体" w:hAnsi="宋体"/>
                <w:sz w:val="18"/>
                <w:szCs w:val="18"/>
              </w:rPr>
              <w:t>27.9598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pStyle w:val="180"/>
            </w:pPr>
            <w:r>
              <w:t>JD-310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80" w:hRule="atLeast"/>
          <w:jc w:val="center"/>
        </w:trPr>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130</w:t>
            </w:r>
          </w:p>
        </w:tc>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811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3.21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0.428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2.42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52.9907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170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791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2.04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0.414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2.575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36.1315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770</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1.40</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0.403</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2.755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26.5300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749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1.21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0.389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2.998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25.1450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729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0.96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0.374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3.354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22.5940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pStyle w:val="180"/>
            </w:pPr>
            <w:r>
              <w:t>JD-330</w:t>
            </w:r>
          </w:p>
        </w:tc>
      </w:tr>
      <w:tr>
        <w:tblPrEx>
          <w:tblLayout w:type="fixed"/>
          <w:tblCellMar>
            <w:top w:w="0" w:type="dxa"/>
            <w:left w:w="0" w:type="dxa"/>
            <w:bottom w:w="0" w:type="dxa"/>
            <w:right w:w="0" w:type="dxa"/>
          </w:tblCellMar>
        </w:tblPrEx>
        <w:trPr>
          <w:trHeight w:val="580" w:hRule="atLeast"/>
          <w:jc w:val="center"/>
        </w:trPr>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130</w:t>
            </w:r>
          </w:p>
        </w:tc>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797</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2.72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0.472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41.7493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170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776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1.82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0.461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2.738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30.1973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755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1.39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0.446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2.943</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24.9298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734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1.18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0.436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3.136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22.4269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714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1.12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4.061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27.5082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pStyle w:val="180"/>
            </w:pPr>
            <w:r>
              <w:t>JD-350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80" w:hRule="atLeast"/>
          <w:jc w:val="center"/>
        </w:trPr>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170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944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1.75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0.446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2.106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28.0825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921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0.436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2.307</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21.9297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890</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1.08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2.571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20.9329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864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0.86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0.414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2.927</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18.9120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330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837</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0.84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0.403</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3.400</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21.3541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YD-131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580" w:hRule="atLeast"/>
          <w:jc w:val="center"/>
        </w:trPr>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cs="宋体"/>
                <w:kern w:val="0"/>
                <w:sz w:val="18"/>
                <w:szCs w:val="18"/>
              </w:rPr>
              <w:t>℃</w:t>
            </w:r>
          </w:p>
        </w:tc>
        <w:tc>
          <w:tcPr>
            <w:tcW w:w="1563"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J/m·h·</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hint="eastAsia" w:ascii="宋体" w:hAnsi="宋体"/>
                <w:kern w:val="0"/>
                <w:sz w:val="18"/>
                <w:szCs w:val="18"/>
              </w:rPr>
              <w:t>k</w:t>
            </w:r>
            <w:r>
              <w:rPr>
                <w:rFonts w:ascii="宋体" w:hAnsi="宋体"/>
                <w:kern w:val="0"/>
                <w:sz w:val="18"/>
                <w:szCs w:val="18"/>
              </w:rPr>
              <w:t>J/kg·</w:t>
            </w:r>
            <w:r>
              <w:rPr>
                <w:rFonts w:hint="eastAsia" w:ascii="宋体" w:hAnsi="宋体" w:cs="宋体"/>
                <w:kern w:val="0"/>
                <w:sz w:val="18"/>
                <w:szCs w:val="18"/>
              </w:rPr>
              <w:t>℃</w:t>
            </w:r>
          </w:p>
        </w:tc>
        <w:tc>
          <w:tcPr>
            <w:tcW w:w="1562" w:type="dxa"/>
            <w:shd w:val="clear" w:color="auto" w:fill="auto"/>
            <w:vAlign w:val="center"/>
          </w:tcPr>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napToGrid w:val="0"/>
              <w:spacing w:line="300" w:lineRule="atLeast"/>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napToGrid w:val="0"/>
              <w:spacing w:line="300" w:lineRule="atLeast"/>
              <w:jc w:val="center"/>
              <w:rPr>
                <w:rFonts w:ascii="宋体" w:hAnsi="宋体"/>
                <w:kern w:val="0"/>
                <w:sz w:val="18"/>
                <w:szCs w:val="18"/>
              </w:rPr>
            </w:pPr>
            <w:r>
              <w:rPr>
                <w:rFonts w:ascii="宋体" w:hAnsi="宋体"/>
                <w:sz w:val="18"/>
                <w:szCs w:val="18"/>
              </w:rPr>
              <w:t>90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6.25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0.464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2.198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87.9318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130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804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3.32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0.446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2.416</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52.0546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170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782</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2.09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0.425</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2.633</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36.4517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210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761</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1.50</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0.407</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2.843</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28.7052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739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1.28</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0.389</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3.044</w:t>
            </w:r>
          </w:p>
        </w:tc>
        <w:tc>
          <w:tcPr>
            <w:tcW w:w="1562" w:type="dxa"/>
            <w:shd w:val="clear" w:color="auto" w:fill="auto"/>
            <w:vAlign w:val="center"/>
          </w:tcPr>
          <w:p>
            <w:pPr>
              <w:adjustRightInd/>
              <w:snapToGrid w:val="0"/>
              <w:spacing w:line="300" w:lineRule="atLeast"/>
              <w:jc w:val="center"/>
              <w:rPr>
                <w:rFonts w:ascii="宋体" w:hAnsi="宋体"/>
                <w:sz w:val="18"/>
                <w:szCs w:val="18"/>
              </w:rPr>
            </w:pPr>
            <w:r>
              <w:rPr>
                <w:rFonts w:ascii="宋体" w:hAnsi="宋体"/>
                <w:sz w:val="18"/>
                <w:szCs w:val="18"/>
              </w:rPr>
              <w:t>26.6472</w:t>
            </w:r>
          </w:p>
        </w:tc>
      </w:tr>
    </w:tbl>
    <w:p>
      <w:pPr>
        <w:pStyle w:val="79"/>
        <w:numPr>
          <w:ilvl w:val="1"/>
          <w:numId w:val="0"/>
        </w:numPr>
        <w:spacing w:before="156" w:after="156"/>
        <w:rPr>
          <w:rFonts w:hint="eastAsia"/>
        </w:rPr>
      </w:pPr>
    </w:p>
    <w:p>
      <w:pPr>
        <w:pStyle w:val="79"/>
        <w:numPr>
          <w:ilvl w:val="1"/>
          <w:numId w:val="0"/>
        </w:numPr>
        <w:spacing w:before="156" w:after="156"/>
      </w:pPr>
      <w:r>
        <w:rPr>
          <w:rFonts w:hint="eastAsia"/>
        </w:rPr>
        <w:t>表A.1导热油特性参数表（续）</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3"/>
        <w:gridCol w:w="1563"/>
        <w:gridCol w:w="1562"/>
        <w:gridCol w:w="1562"/>
        <w:gridCol w:w="1562"/>
        <w:gridCol w:w="15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9374" w:type="dxa"/>
            <w:gridSpan w:val="6"/>
            <w:tcBorders>
              <w:top w:val="single" w:color="auto" w:sz="8" w:space="0"/>
              <w:bottom w:val="single" w:color="auto" w:sz="8" w:space="0"/>
            </w:tcBorders>
            <w:shd w:val="clear" w:color="auto" w:fill="auto"/>
            <w:vAlign w:val="center"/>
          </w:tcPr>
          <w:p>
            <w:pPr>
              <w:pStyle w:val="180"/>
            </w:pPr>
            <w:r>
              <w:t>YD-132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04" w:hRule="atLeast"/>
          <w:jc w:val="center"/>
        </w:trPr>
        <w:tc>
          <w:tcPr>
            <w:tcW w:w="156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温度t</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c>
          <w:tcPr>
            <w:tcW w:w="1563"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密度ρ</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kg/m</w:t>
            </w:r>
            <w:r>
              <w:rPr>
                <w:rFonts w:ascii="宋体" w:hAnsi="宋体"/>
                <w:kern w:val="0"/>
                <w:sz w:val="18"/>
                <w:szCs w:val="18"/>
                <w:vertAlign w:val="superscript"/>
              </w:rPr>
              <w:t>3</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运动</w:t>
            </w:r>
            <w:r>
              <w:rPr>
                <w:rFonts w:ascii="宋体" w:hAnsi="宋体"/>
                <w:kern w:val="0"/>
                <w:sz w:val="18"/>
                <w:szCs w:val="18"/>
              </w:rPr>
              <w:t>粘度</w:t>
            </w:r>
            <w:r>
              <w:rPr>
                <w:rFonts w:hint="eastAsia" w:ascii="仿宋_GB2312" w:hAnsi="Times New Roman" w:eastAsia="仿宋_GB2312"/>
                <w:kern w:val="0"/>
                <w:sz w:val="18"/>
                <w:szCs w:val="18"/>
              </w:rPr>
              <w:t>υ</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rPr>
              <w:t>10</w:t>
            </w:r>
            <w:r>
              <w:rPr>
                <w:rFonts w:hint="eastAsia" w:ascii="宋体" w:hAnsi="宋体"/>
                <w:kern w:val="0"/>
                <w:sz w:val="18"/>
                <w:szCs w:val="18"/>
                <w:vertAlign w:val="superscript"/>
              </w:rPr>
              <w:t>-6</w:t>
            </w:r>
            <w:r>
              <w:rPr>
                <w:rFonts w:ascii="宋体" w:hAnsi="宋体"/>
                <w:kern w:val="0"/>
                <w:sz w:val="18"/>
                <w:szCs w:val="18"/>
              </w:rPr>
              <w:t>m</w:t>
            </w:r>
            <w:r>
              <w:rPr>
                <w:rFonts w:hint="eastAsia" w:ascii="宋体" w:hAnsi="宋体"/>
                <w:kern w:val="0"/>
                <w:sz w:val="18"/>
                <w:szCs w:val="18"/>
                <w:vertAlign w:val="superscript"/>
              </w:rPr>
              <w:t>2</w:t>
            </w:r>
            <w:r>
              <w:rPr>
                <w:rFonts w:ascii="宋体" w:hAnsi="宋体"/>
                <w:kern w:val="0"/>
                <w:sz w:val="18"/>
                <w:szCs w:val="18"/>
              </w:rPr>
              <w:t>/</w:t>
            </w:r>
            <w:r>
              <w:rPr>
                <w:rFonts w:hint="eastAsia" w:ascii="宋体" w:hAnsi="宋体"/>
                <w:kern w:val="0"/>
                <w:sz w:val="18"/>
                <w:szCs w:val="18"/>
              </w:rPr>
              <w:t>s</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导热系数λ</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kJ/m·h·℃</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比热</w:t>
            </w:r>
            <w:r>
              <w:rPr>
                <w:rFonts w:hint="eastAsia" w:ascii="宋体" w:hAnsi="宋体"/>
                <w:kern w:val="0"/>
                <w:sz w:val="18"/>
                <w:szCs w:val="18"/>
              </w:rPr>
              <w:t>c</w:t>
            </w:r>
            <w:r>
              <w:rPr>
                <w:rFonts w:ascii="宋体" w:hAnsi="宋体"/>
                <w:kern w:val="0"/>
                <w:sz w:val="18"/>
                <w:szCs w:val="18"/>
                <w:vertAlign w:val="subscript"/>
              </w:rPr>
              <w:t>p</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kJ/kg·℃</w:t>
            </w:r>
          </w:p>
        </w:tc>
        <w:tc>
          <w:tcPr>
            <w:tcW w:w="1562" w:type="dxa"/>
            <w:tcBorders>
              <w:top w:val="single" w:color="auto" w:sz="8" w:space="0"/>
            </w:tcBorders>
            <w:shd w:val="clear" w:color="auto" w:fill="auto"/>
            <w:vAlign w:val="center"/>
          </w:tcPr>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普朗特准则数Pr</w:t>
            </w:r>
          </w:p>
          <w:p>
            <w:pPr>
              <w:widowControl/>
              <w:tabs>
                <w:tab w:val="center" w:pos="4201"/>
                <w:tab w:val="right" w:leader="dot" w:pos="9298"/>
              </w:tabs>
              <w:autoSpaceDE w:val="0"/>
              <w:autoSpaceDN w:val="0"/>
              <w:adjustRightInd/>
              <w:spacing w:line="240" w:lineRule="auto"/>
              <w:jc w:val="center"/>
              <w:rPr>
                <w:rFonts w:ascii="宋体" w:hAnsi="宋体"/>
                <w:kern w:val="0"/>
                <w:sz w:val="18"/>
                <w:szCs w:val="18"/>
              </w:rPr>
            </w:pPr>
            <w:r>
              <w:rPr>
                <w:rFonts w:ascii="宋体" w:hAnsi="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widowControl/>
              <w:adjustRightInd/>
              <w:spacing w:line="240" w:lineRule="auto"/>
              <w:jc w:val="center"/>
              <w:rPr>
                <w:rFonts w:ascii="宋体" w:hAnsi="宋体"/>
                <w:kern w:val="0"/>
                <w:sz w:val="18"/>
                <w:szCs w:val="18"/>
              </w:rPr>
            </w:pPr>
            <w:r>
              <w:rPr>
                <w:rFonts w:ascii="宋体" w:hAnsi="宋体"/>
                <w:sz w:val="18"/>
                <w:szCs w:val="18"/>
              </w:rPr>
              <w:t>130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804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3.81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0.439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2.412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60.5894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170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784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2.46</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0.432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2.571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41.3211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210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763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1.77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0.425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2.751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31.4704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250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743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1.43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0.414</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2.998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27.6987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290</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723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0.407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3.540</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24.9025</w:t>
            </w:r>
          </w:p>
        </w:tc>
      </w:tr>
    </w:tbl>
    <w:p>
      <w:pPr>
        <w:pStyle w:val="79"/>
        <w:numPr>
          <w:ilvl w:val="1"/>
          <w:numId w:val="0"/>
        </w:numPr>
        <w:spacing w:before="156" w:after="156"/>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type="lines" w:linePitch="312" w:charSpace="0"/>
        </w:sectPr>
      </w:pPr>
    </w:p>
    <w:bookmarkEnd w:id="150"/>
    <w:p>
      <w:pPr>
        <w:pStyle w:val="200"/>
        <w:rPr>
          <w:vanish w:val="0"/>
        </w:rPr>
      </w:pPr>
    </w:p>
    <w:p>
      <w:pPr>
        <w:pStyle w:val="201"/>
        <w:numPr>
          <w:ilvl w:val="0"/>
          <w:numId w:val="0"/>
        </w:numPr>
        <w:rPr>
          <w:rFonts w:hint="eastAsia"/>
          <w:vanish w:val="0"/>
        </w:rPr>
      </w:pPr>
      <w:r>
        <w:rPr>
          <w:rFonts w:hint="eastAsia"/>
          <w:vanish w:val="0"/>
        </w:rPr>
        <w:t>A</w:t>
      </w:r>
    </w:p>
    <w:p>
      <w:pPr>
        <w:pStyle w:val="78"/>
        <w:spacing w:after="156"/>
        <w:rPr>
          <w:rFonts w:hint="eastAsia"/>
        </w:rPr>
      </w:pPr>
      <w:r>
        <w:br w:type="textWrapping"/>
      </w:r>
      <w:bookmarkStart w:id="151" w:name="_Toc178345015"/>
      <w:r>
        <w:rPr>
          <w:rFonts w:hint="eastAsia"/>
        </w:rPr>
        <w:t>（规范性）</w:t>
      </w:r>
      <w:r>
        <w:br w:type="textWrapping"/>
      </w:r>
      <w:r>
        <w:rPr>
          <w:rFonts w:hint="eastAsia"/>
        </w:rPr>
        <w:t>中温太阳能空调系统安装、调试及维护</w:t>
      </w:r>
      <w:bookmarkEnd w:id="151"/>
    </w:p>
    <w:p>
      <w:pPr>
        <w:pStyle w:val="80"/>
        <w:spacing w:before="156" w:after="156"/>
      </w:pPr>
      <w:bookmarkStart w:id="152" w:name="_Toc3649"/>
      <w:bookmarkStart w:id="153" w:name="_Toc178339515"/>
      <w:bookmarkStart w:id="154" w:name="_Toc13281"/>
      <w:bookmarkStart w:id="155" w:name="_Toc178345016"/>
      <w:bookmarkStart w:id="156" w:name="_Toc171601731"/>
      <w:r>
        <w:rPr>
          <w:rFonts w:hint="eastAsia"/>
        </w:rPr>
        <w:t>安装</w:t>
      </w:r>
      <w:bookmarkEnd w:id="152"/>
      <w:bookmarkEnd w:id="153"/>
      <w:bookmarkEnd w:id="154"/>
      <w:bookmarkEnd w:id="155"/>
    </w:p>
    <w:p>
      <w:pPr>
        <w:pStyle w:val="214"/>
        <w:ind w:left="0"/>
      </w:pPr>
      <w:r>
        <w:rPr>
          <w:rFonts w:hint="eastAsia"/>
        </w:rPr>
        <w:t>应选择具备相应安装资质的工程建设方进行系统施工安装。</w:t>
      </w:r>
    </w:p>
    <w:p>
      <w:pPr>
        <w:pStyle w:val="214"/>
        <w:ind w:left="0"/>
      </w:pPr>
      <w:r>
        <w:rPr>
          <w:rFonts w:hint="eastAsia"/>
        </w:rPr>
        <w:t>安装前应编制施工组织方案，并通过批准，包括但不限于主体施工、设备安装、装修装饰等工种的协调配合方案和安全措施等内容。</w:t>
      </w:r>
    </w:p>
    <w:p>
      <w:pPr>
        <w:pStyle w:val="214"/>
        <w:ind w:left="0"/>
      </w:pPr>
      <w:r>
        <w:rPr>
          <w:rFonts w:hint="eastAsia"/>
        </w:rPr>
        <w:t>安装前应确认设计文件齐备、现场水、电、路、基础预留内容、设施条件、场地等都具备并符合施工要求。</w:t>
      </w:r>
    </w:p>
    <w:p>
      <w:pPr>
        <w:pStyle w:val="214"/>
        <w:ind w:left="0"/>
      </w:pPr>
      <w:r>
        <w:rPr>
          <w:rFonts w:hint="eastAsia"/>
        </w:rPr>
        <w:t>安装进场的所有人员、设备、材料、部品、环境安全设施都应具有相应的合格证明资料，并符合施工要求的质量、数量、性能指标。</w:t>
      </w:r>
    </w:p>
    <w:p>
      <w:pPr>
        <w:pStyle w:val="214"/>
        <w:ind w:left="0"/>
      </w:pPr>
      <w:r>
        <w:rPr>
          <w:rFonts w:hint="eastAsia"/>
        </w:rPr>
        <w:t>安装过程中对涉及的人员、设备、材料、部品、环境安全设施、周围设施都具有必要的安全防护措施。</w:t>
      </w:r>
    </w:p>
    <w:p>
      <w:pPr>
        <w:pStyle w:val="214"/>
        <w:ind w:left="0"/>
      </w:pPr>
      <w:r>
        <w:rPr>
          <w:rFonts w:hint="eastAsia"/>
        </w:rPr>
        <w:t>安装在建筑物屋顶的中温太阳能集热系统，系统施工安装时，不应破坏建筑物的结构、不应削弱建筑物在寿命期内承受任何荷载的能力、不应破坏建筑物的附属设施，建筑防水层遭到破坏的应修复。</w:t>
      </w:r>
    </w:p>
    <w:p>
      <w:pPr>
        <w:pStyle w:val="214"/>
        <w:ind w:left="0"/>
      </w:pPr>
      <w:r>
        <w:rPr>
          <w:rFonts w:hint="eastAsia"/>
        </w:rPr>
        <w:t>对环境有特殊要求的设备，应配备相应的措施。</w:t>
      </w:r>
    </w:p>
    <w:p>
      <w:pPr>
        <w:pStyle w:val="80"/>
        <w:spacing w:before="156" w:after="156"/>
      </w:pPr>
      <w:bookmarkStart w:id="157" w:name="_Toc178339516"/>
      <w:bookmarkStart w:id="158" w:name="_Toc24491"/>
      <w:bookmarkStart w:id="159" w:name="_Toc178345017"/>
      <w:bookmarkStart w:id="160" w:name="_Toc10698"/>
      <w:r>
        <w:rPr>
          <w:rFonts w:hint="eastAsia"/>
        </w:rPr>
        <w:t>调试</w:t>
      </w:r>
      <w:bookmarkEnd w:id="157"/>
      <w:bookmarkEnd w:id="158"/>
      <w:bookmarkEnd w:id="159"/>
      <w:bookmarkEnd w:id="160"/>
    </w:p>
    <w:p>
      <w:pPr>
        <w:pStyle w:val="214"/>
        <w:ind w:left="0"/>
      </w:pPr>
      <w:r>
        <w:rPr>
          <w:rFonts w:hint="eastAsia"/>
        </w:rPr>
        <w:t>系统安装完毕投入使用前，应进行系统调试，应由施工单位负责，监理单位监督，设计、建设单位与设备厂家共同参与。</w:t>
      </w:r>
    </w:p>
    <w:p>
      <w:pPr>
        <w:pStyle w:val="214"/>
        <w:ind w:left="0"/>
      </w:pPr>
      <w:r>
        <w:rPr>
          <w:rFonts w:hint="eastAsia"/>
        </w:rPr>
        <w:t>系统调试包括设备单机和系统联动的调试，系统联动调试需在设备单机试运行合格后进行。</w:t>
      </w:r>
    </w:p>
    <w:p>
      <w:pPr>
        <w:pStyle w:val="214"/>
        <w:ind w:left="0"/>
      </w:pPr>
      <w:r>
        <w:rPr>
          <w:rFonts w:hint="eastAsia"/>
        </w:rPr>
        <w:t>调试前应将集热器、换热装置、储热装置、辅助热源等设备及管路内部清理干净。</w:t>
      </w:r>
    </w:p>
    <w:p>
      <w:pPr>
        <w:pStyle w:val="214"/>
        <w:ind w:left="0"/>
      </w:pPr>
      <w:r>
        <w:rPr>
          <w:rFonts w:hint="eastAsia"/>
        </w:rPr>
        <w:t>设备单机调试主要内容：检查安装、数量、防护措施、阀门密封、仪表灵敏度、设备热性能等。</w:t>
      </w:r>
    </w:p>
    <w:p>
      <w:pPr>
        <w:pStyle w:val="214"/>
        <w:ind w:left="0"/>
      </w:pPr>
      <w:r>
        <w:rPr>
          <w:rFonts w:hint="eastAsia"/>
        </w:rPr>
        <w:t>系统联动调试主要内容：集热场流量平衡、太阳能与辅助能源的匹配、系统热性能等。</w:t>
      </w:r>
    </w:p>
    <w:p>
      <w:pPr>
        <w:pStyle w:val="214"/>
        <w:ind w:left="0"/>
      </w:pPr>
      <w:r>
        <w:rPr>
          <w:rFonts w:hint="eastAsia"/>
        </w:rPr>
        <w:t>调试运行过程中出现的故障应及时排除，当出现的故障必须停止系统运行后才能排除，则试运行时间重新开始计算。</w:t>
      </w:r>
    </w:p>
    <w:p>
      <w:pPr>
        <w:pStyle w:val="214"/>
        <w:ind w:left="0"/>
      </w:pPr>
      <w:r>
        <w:rPr>
          <w:rFonts w:hint="eastAsia"/>
        </w:rPr>
        <w:t>连续稳定试运行时间达到一周、制冷性能达到设计要求，则系统调试完成。</w:t>
      </w:r>
    </w:p>
    <w:p>
      <w:pPr>
        <w:pStyle w:val="214"/>
        <w:ind w:left="0"/>
      </w:pPr>
      <w:r>
        <w:rPr>
          <w:rFonts w:hint="eastAsia"/>
        </w:rPr>
        <w:t>应建立维护保养制度，并定期实施。</w:t>
      </w:r>
    </w:p>
    <w:p>
      <w:pPr>
        <w:pStyle w:val="80"/>
        <w:spacing w:before="156" w:after="156"/>
      </w:pPr>
      <w:bookmarkStart w:id="161" w:name="_Toc4048"/>
      <w:bookmarkStart w:id="162" w:name="_Toc178345018"/>
      <w:bookmarkStart w:id="163" w:name="_Toc1117"/>
      <w:bookmarkStart w:id="164" w:name="_Toc178339517"/>
      <w:r>
        <w:rPr>
          <w:rFonts w:hint="eastAsia"/>
        </w:rPr>
        <w:t>维护</w:t>
      </w:r>
      <w:bookmarkEnd w:id="161"/>
      <w:bookmarkEnd w:id="162"/>
      <w:bookmarkEnd w:id="163"/>
      <w:bookmarkEnd w:id="164"/>
    </w:p>
    <w:p>
      <w:pPr>
        <w:pStyle w:val="214"/>
        <w:ind w:left="0"/>
      </w:pPr>
      <w:r>
        <w:rPr>
          <w:rFonts w:hint="eastAsia"/>
        </w:rPr>
        <w:t>应对系统中的传感器进行年检，发现问题应及时更换。</w:t>
      </w:r>
    </w:p>
    <w:p>
      <w:pPr>
        <w:pStyle w:val="214"/>
        <w:ind w:left="0"/>
      </w:pPr>
      <w:r>
        <w:rPr>
          <w:rFonts w:hint="eastAsia"/>
        </w:rPr>
        <w:t>太阳能集热器应每年进行全面检查，定期清洗集热器表面。</w:t>
      </w:r>
    </w:p>
    <w:p>
      <w:pPr>
        <w:pStyle w:val="214"/>
        <w:ind w:left="0"/>
      </w:pPr>
      <w:r>
        <w:rPr>
          <w:rFonts w:hint="eastAsia"/>
        </w:rPr>
        <w:t>应定期检查水泵、管路以及阀门等附件，</w:t>
      </w:r>
    </w:p>
    <w:p>
      <w:pPr>
        <w:pStyle w:val="214"/>
        <w:ind w:left="0"/>
      </w:pPr>
      <w:r>
        <w:rPr>
          <w:rFonts w:hint="eastAsia"/>
        </w:rPr>
        <w:t>夏季空调系统停止运行时，应采取有效措施防止太阳能集热系统过热。</w:t>
      </w:r>
    </w:p>
    <w:bookmarkEnd w:id="156"/>
    <w:p>
      <w:pPr>
        <w:pStyle w:val="58"/>
        <w:ind w:firstLine="420"/>
        <w:rPr>
          <w:rFonts w:hint="eastAsia"/>
        </w:rPr>
      </w:pPr>
    </w:p>
    <w:p>
      <w:pPr>
        <w:pStyle w:val="58"/>
        <w:ind w:firstLine="420"/>
        <w:rPr>
          <w:rFonts w:hint="eastAsia"/>
        </w:rPr>
      </w:pPr>
    </w:p>
    <w:p>
      <w:pPr>
        <w:pStyle w:val="58"/>
        <w:ind w:firstLine="0" w:firstLineChars="0"/>
        <w:sectPr>
          <w:headerReference r:id="rId25" w:type="default"/>
          <w:footerReference r:id="rId27" w:type="default"/>
          <w:headerReference r:id="rId26" w:type="even"/>
          <w:footerReference r:id="rId28" w:type="even"/>
          <w:pgSz w:w="11906" w:h="16838"/>
          <w:pgMar w:top="1928" w:right="1134" w:bottom="1134" w:left="1134" w:header="1418" w:footer="1134" w:gutter="284"/>
          <w:cols w:space="425" w:num="1"/>
          <w:formProt w:val="0"/>
          <w:docGrid w:type="lines" w:linePitch="312" w:charSpace="0"/>
        </w:sectPr>
      </w:pPr>
    </w:p>
    <w:p>
      <w:pPr>
        <w:pStyle w:val="200"/>
        <w:rPr>
          <w:vanish w:val="0"/>
        </w:rPr>
      </w:pPr>
    </w:p>
    <w:p>
      <w:pPr>
        <w:pStyle w:val="201"/>
        <w:rPr>
          <w:vanish w:val="0"/>
        </w:rPr>
      </w:pPr>
    </w:p>
    <w:p>
      <w:pPr>
        <w:pStyle w:val="78"/>
        <w:spacing w:after="156"/>
        <w:rPr>
          <w:rFonts w:hint="eastAsia"/>
        </w:rPr>
      </w:pPr>
      <w:r>
        <w:br w:type="textWrapping"/>
      </w:r>
      <w:bookmarkStart w:id="165" w:name="_Toc178345019"/>
      <w:r>
        <w:rPr>
          <w:rFonts w:hint="eastAsia"/>
        </w:rPr>
        <w:t>（资料性）</w:t>
      </w:r>
      <w:r>
        <w:br w:type="textWrapping"/>
      </w:r>
      <w:r>
        <w:rPr>
          <w:rFonts w:hint="eastAsia"/>
        </w:rPr>
        <w:t>山东地区日太阳辐照量分段天数统计表</w:t>
      </w:r>
      <w:bookmarkEnd w:id="165"/>
    </w:p>
    <w:p>
      <w:pPr>
        <w:pStyle w:val="58"/>
        <w:ind w:firstLine="420"/>
      </w:pPr>
      <w:r>
        <w:rPr>
          <w:rFonts w:hint="eastAsia"/>
        </w:rPr>
        <w:t>山东地区日太阳辐照量分段天数统计见表C.1。</w:t>
      </w:r>
    </w:p>
    <w:p>
      <w:pPr>
        <w:pStyle w:val="79"/>
        <w:numPr>
          <w:ilvl w:val="1"/>
          <w:numId w:val="0"/>
        </w:numPr>
        <w:spacing w:before="156" w:after="156"/>
      </w:pPr>
      <w:r>
        <w:rPr>
          <w:rFonts w:hint="eastAsia"/>
        </w:rPr>
        <w:t>表C.1 山东地区日太阳辐照量分段天数统计表</w:t>
      </w:r>
    </w:p>
    <w:p>
      <w:pPr>
        <w:widowControl/>
        <w:tabs>
          <w:tab w:val="center" w:pos="4201"/>
          <w:tab w:val="right" w:leader="dot" w:pos="9298"/>
        </w:tabs>
        <w:autoSpaceDE w:val="0"/>
        <w:autoSpaceDN w:val="0"/>
        <w:adjustRightInd/>
        <w:spacing w:line="240" w:lineRule="auto"/>
        <w:ind w:firstLine="360" w:firstLineChars="200"/>
        <w:jc w:val="right"/>
        <w:rPr>
          <w:rFonts w:ascii="宋体" w:hAnsi="Times New Roman"/>
          <w:kern w:val="0"/>
          <w:szCs w:val="20"/>
        </w:rPr>
      </w:pPr>
      <w:r>
        <w:rPr>
          <w:rFonts w:hint="eastAsia" w:ascii="宋体" w:hAnsi="宋体"/>
          <w:kern w:val="0"/>
          <w:sz w:val="18"/>
          <w:szCs w:val="18"/>
        </w:rPr>
        <w:t>单位：天</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3"/>
        <w:gridCol w:w="1563"/>
        <w:gridCol w:w="1562"/>
        <w:gridCol w:w="1562"/>
        <w:gridCol w:w="1562"/>
        <w:gridCol w:w="15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PrEx>
        <w:trPr>
          <w:tblHeader/>
          <w:jc w:val="center"/>
        </w:trPr>
        <w:tc>
          <w:tcPr>
            <w:tcW w:w="1563" w:type="dxa"/>
            <w:vMerge w:val="restart"/>
            <w:tcBorders>
              <w:top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序号</w:t>
            </w:r>
          </w:p>
        </w:tc>
        <w:tc>
          <w:tcPr>
            <w:tcW w:w="1563" w:type="dxa"/>
            <w:vMerge w:val="restart"/>
            <w:tcBorders>
              <w:top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城市</w:t>
            </w:r>
          </w:p>
        </w:tc>
        <w:tc>
          <w:tcPr>
            <w:tcW w:w="6248" w:type="dxa"/>
            <w:gridSpan w:val="4"/>
            <w:tcBorders>
              <w:top w:val="single" w:color="auto" w:sz="8" w:space="0"/>
              <w:bottom w:val="single" w:color="auto" w:sz="8" w:space="0"/>
            </w:tcBorders>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r>
              <w:rPr>
                <w:rFonts w:hint="eastAsia" w:ascii="宋体" w:hAnsi="Times New Roman"/>
                <w:kern w:val="0"/>
                <w:sz w:val="18"/>
                <w:szCs w:val="20"/>
              </w:rPr>
              <w:t>天数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vMerge w:val="continue"/>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p>
        </w:tc>
        <w:tc>
          <w:tcPr>
            <w:tcW w:w="1563" w:type="dxa"/>
            <w:vMerge w:val="continue"/>
            <w:shd w:val="clear" w:color="auto" w:fill="auto"/>
            <w:vAlign w:val="center"/>
          </w:tcPr>
          <w:p>
            <w:pPr>
              <w:widowControl/>
              <w:autoSpaceDE w:val="0"/>
              <w:autoSpaceDN w:val="0"/>
              <w:adjustRightInd/>
              <w:spacing w:line="240" w:lineRule="auto"/>
              <w:jc w:val="center"/>
              <w:rPr>
                <w:rFonts w:ascii="宋体" w:hAnsi="Times New Roman"/>
                <w:kern w:val="0"/>
                <w:sz w:val="18"/>
                <w:szCs w:val="20"/>
              </w:rPr>
            </w:pPr>
          </w:p>
        </w:tc>
        <w:tc>
          <w:tcPr>
            <w:tcW w:w="1562" w:type="dxa"/>
            <w:tcBorders>
              <w:top w:val="single" w:color="auto" w:sz="8" w:space="0"/>
            </w:tcBorders>
            <w:shd w:val="clear" w:color="auto" w:fill="auto"/>
            <w:vAlign w:val="center"/>
          </w:tcPr>
          <w:p>
            <w:pPr>
              <w:adjustRightInd/>
              <w:spacing w:line="240" w:lineRule="auto"/>
              <w:jc w:val="center"/>
              <w:rPr>
                <w:rFonts w:ascii="宋体" w:hAnsi="宋体"/>
                <w:i/>
                <w:iCs/>
                <w:sz w:val="18"/>
                <w:szCs w:val="18"/>
              </w:rPr>
            </w:pPr>
            <w:r>
              <w:rPr>
                <w:rFonts w:ascii="宋体" w:hAnsi="宋体"/>
                <w:i/>
                <w:iCs/>
                <w:sz w:val="18"/>
                <w:szCs w:val="18"/>
              </w:rPr>
              <w:t>x</w:t>
            </w:r>
            <w:r>
              <w:rPr>
                <w:rFonts w:ascii="宋体" w:hAnsi="宋体"/>
                <w:i/>
                <w:iCs/>
                <w:sz w:val="18"/>
                <w:szCs w:val="18"/>
                <w:vertAlign w:val="subscript"/>
              </w:rPr>
              <w:t>1</w:t>
            </w:r>
          </w:p>
        </w:tc>
        <w:tc>
          <w:tcPr>
            <w:tcW w:w="1562" w:type="dxa"/>
            <w:tcBorders>
              <w:top w:val="single" w:color="auto" w:sz="8" w:space="0"/>
            </w:tcBorders>
            <w:shd w:val="clear" w:color="auto" w:fill="auto"/>
            <w:vAlign w:val="center"/>
          </w:tcPr>
          <w:p>
            <w:pPr>
              <w:adjustRightInd/>
              <w:spacing w:line="240" w:lineRule="auto"/>
              <w:jc w:val="center"/>
              <w:rPr>
                <w:rFonts w:ascii="宋体" w:hAnsi="宋体"/>
                <w:i/>
                <w:iCs/>
                <w:sz w:val="18"/>
                <w:szCs w:val="18"/>
              </w:rPr>
            </w:pPr>
            <w:r>
              <w:rPr>
                <w:rFonts w:ascii="宋体" w:hAnsi="宋体"/>
                <w:i/>
                <w:iCs/>
                <w:sz w:val="18"/>
                <w:szCs w:val="18"/>
              </w:rPr>
              <w:t>x</w:t>
            </w:r>
            <w:r>
              <w:rPr>
                <w:rFonts w:ascii="宋体" w:hAnsi="宋体"/>
                <w:i/>
                <w:iCs/>
                <w:sz w:val="18"/>
                <w:szCs w:val="18"/>
                <w:vertAlign w:val="subscript"/>
              </w:rPr>
              <w:t>2</w:t>
            </w:r>
          </w:p>
        </w:tc>
        <w:tc>
          <w:tcPr>
            <w:tcW w:w="1562" w:type="dxa"/>
            <w:tcBorders>
              <w:top w:val="single" w:color="auto" w:sz="8" w:space="0"/>
            </w:tcBorders>
            <w:shd w:val="clear" w:color="auto" w:fill="auto"/>
            <w:vAlign w:val="center"/>
          </w:tcPr>
          <w:p>
            <w:pPr>
              <w:adjustRightInd/>
              <w:spacing w:line="240" w:lineRule="auto"/>
              <w:jc w:val="center"/>
              <w:rPr>
                <w:rFonts w:ascii="宋体" w:hAnsi="宋体"/>
                <w:i/>
                <w:iCs/>
                <w:sz w:val="18"/>
                <w:szCs w:val="18"/>
              </w:rPr>
            </w:pPr>
            <w:r>
              <w:rPr>
                <w:rFonts w:ascii="宋体" w:hAnsi="宋体"/>
                <w:i/>
                <w:iCs/>
                <w:sz w:val="18"/>
                <w:szCs w:val="18"/>
              </w:rPr>
              <w:t>x</w:t>
            </w:r>
            <w:r>
              <w:rPr>
                <w:rFonts w:ascii="宋体" w:hAnsi="宋体"/>
                <w:i/>
                <w:iCs/>
                <w:sz w:val="18"/>
                <w:szCs w:val="18"/>
                <w:vertAlign w:val="subscript"/>
              </w:rPr>
              <w:t>3</w:t>
            </w:r>
          </w:p>
        </w:tc>
        <w:tc>
          <w:tcPr>
            <w:tcW w:w="1562" w:type="dxa"/>
            <w:tcBorders>
              <w:top w:val="single" w:color="auto" w:sz="8" w:space="0"/>
            </w:tcBorders>
            <w:shd w:val="clear" w:color="auto" w:fill="auto"/>
            <w:vAlign w:val="center"/>
          </w:tcPr>
          <w:p>
            <w:pPr>
              <w:adjustRightInd/>
              <w:spacing w:line="240" w:lineRule="auto"/>
              <w:jc w:val="center"/>
              <w:rPr>
                <w:rFonts w:ascii="宋体" w:hAnsi="宋体"/>
                <w:i/>
                <w:iCs/>
                <w:sz w:val="18"/>
                <w:szCs w:val="18"/>
              </w:rPr>
            </w:pPr>
            <w:r>
              <w:rPr>
                <w:rFonts w:ascii="宋体" w:hAnsi="宋体"/>
                <w:i/>
                <w:iCs/>
                <w:sz w:val="18"/>
                <w:szCs w:val="18"/>
              </w:rPr>
              <w:t>x</w:t>
            </w:r>
            <w:r>
              <w:rPr>
                <w:rFonts w:ascii="宋体" w:hAnsi="宋体"/>
                <w:i/>
                <w:iCs/>
                <w:sz w:val="18"/>
                <w:szCs w:val="18"/>
                <w:vertAlign w:val="subscript"/>
              </w:rPr>
              <w:t>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鲁北</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68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113</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2</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鲁东</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59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3</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鲁西</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89</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107</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75</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4</w:t>
            </w:r>
          </w:p>
        </w:tc>
        <w:tc>
          <w:tcPr>
            <w:tcW w:w="1563"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鲁中</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78</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112</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111</w:t>
            </w:r>
          </w:p>
        </w:tc>
        <w:tc>
          <w:tcPr>
            <w:tcW w:w="1562" w:type="dxa"/>
            <w:shd w:val="clear" w:color="auto" w:fill="auto"/>
            <w:vAlign w:val="center"/>
          </w:tcPr>
          <w:p>
            <w:pPr>
              <w:adjustRightInd/>
              <w:spacing w:line="240" w:lineRule="auto"/>
              <w:jc w:val="center"/>
              <w:rPr>
                <w:rFonts w:ascii="宋体" w:hAnsi="宋体"/>
                <w:sz w:val="18"/>
                <w:szCs w:val="18"/>
              </w:rPr>
            </w:pPr>
            <w:r>
              <w:rPr>
                <w:rFonts w:ascii="宋体" w:hAnsi="宋体"/>
                <w:sz w:val="18"/>
                <w:szCs w:val="18"/>
              </w:rPr>
              <w:t>64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1563"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5</w:t>
            </w:r>
          </w:p>
        </w:tc>
        <w:tc>
          <w:tcPr>
            <w:tcW w:w="1563"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鲁南</w:t>
            </w:r>
          </w:p>
        </w:tc>
        <w:tc>
          <w:tcPr>
            <w:tcW w:w="1562"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76</w:t>
            </w:r>
          </w:p>
        </w:tc>
        <w:tc>
          <w:tcPr>
            <w:tcW w:w="1562"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112</w:t>
            </w:r>
          </w:p>
        </w:tc>
        <w:tc>
          <w:tcPr>
            <w:tcW w:w="1562"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101</w:t>
            </w:r>
          </w:p>
        </w:tc>
        <w:tc>
          <w:tcPr>
            <w:tcW w:w="1562" w:type="dxa"/>
            <w:tcBorders>
              <w:bottom w:val="single" w:color="auto" w:sz="8" w:space="0"/>
            </w:tcBorders>
            <w:shd w:val="clear" w:color="auto" w:fill="auto"/>
            <w:vAlign w:val="center"/>
          </w:tcPr>
          <w:p>
            <w:pPr>
              <w:adjustRightInd/>
              <w:spacing w:line="240" w:lineRule="auto"/>
              <w:jc w:val="center"/>
              <w:rPr>
                <w:rFonts w:ascii="宋体" w:hAnsi="宋体"/>
                <w:sz w:val="18"/>
                <w:szCs w:val="18"/>
              </w:rPr>
            </w:pPr>
            <w:r>
              <w:rPr>
                <w:rFonts w:ascii="宋体" w:hAnsi="宋体"/>
                <w:sz w:val="18"/>
                <w:szCs w:val="18"/>
              </w:rPr>
              <w:t>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9374" w:type="dxa"/>
            <w:gridSpan w:val="6"/>
            <w:tcBorders>
              <w:top w:val="single" w:color="auto" w:sz="8" w:space="0"/>
              <w:bottom w:val="single" w:color="auto" w:sz="8" w:space="0"/>
            </w:tcBorders>
            <w:shd w:val="clear" w:color="auto" w:fill="auto"/>
            <w:vAlign w:val="center"/>
          </w:tcPr>
          <w:p>
            <w:pPr>
              <w:pStyle w:val="181"/>
            </w:pPr>
            <w:r>
              <w:rPr>
                <w:rFonts w:hAnsi="宋体"/>
                <w:i/>
                <w:iCs/>
              </w:rPr>
              <w:t>x</w:t>
            </w:r>
            <w:r>
              <w:rPr>
                <w:rFonts w:hAnsi="宋体"/>
                <w:i/>
                <w:iCs/>
                <w:vertAlign w:val="subscript"/>
              </w:rPr>
              <w:t>1</w:t>
            </w:r>
            <w:r>
              <w:rPr>
                <w:rFonts w:hint="eastAsia"/>
              </w:rPr>
              <w:t>—</w:t>
            </w:r>
            <w:r>
              <w:t>全年中当地日太阳辐照量小于8MJ/m</w:t>
            </w:r>
            <w:r>
              <w:rPr>
                <w:vertAlign w:val="superscript"/>
              </w:rPr>
              <w:t>2</w:t>
            </w:r>
            <w:r>
              <w:t>的天数，</w:t>
            </w:r>
            <w:r>
              <w:rPr>
                <w:rFonts w:hint="eastAsia"/>
              </w:rPr>
              <w:t>单位为天（</w:t>
            </w:r>
            <w:r>
              <w:t>d）；</w:t>
            </w:r>
          </w:p>
          <w:p>
            <w:pPr>
              <w:widowControl/>
              <w:numPr>
                <w:ilvl w:val="255"/>
                <w:numId w:val="0"/>
              </w:numPr>
              <w:tabs>
                <w:tab w:val="left" w:pos="1140"/>
              </w:tabs>
              <w:autoSpaceDE w:val="0"/>
              <w:autoSpaceDN w:val="0"/>
              <w:adjustRightInd/>
              <w:snapToGrid w:val="0"/>
              <w:spacing w:line="240" w:lineRule="auto"/>
              <w:ind w:left="363" w:firstLine="360"/>
              <w:rPr>
                <w:rFonts w:ascii="宋体" w:hAnsi="Times New Roman"/>
                <w:kern w:val="0"/>
                <w:sz w:val="18"/>
                <w:szCs w:val="18"/>
              </w:rPr>
            </w:pPr>
            <w:r>
              <w:rPr>
                <w:rFonts w:ascii="宋体" w:hAnsi="宋体"/>
                <w:i/>
                <w:iCs/>
                <w:kern w:val="0"/>
                <w:sz w:val="18"/>
                <w:szCs w:val="18"/>
              </w:rPr>
              <w:t>x</w:t>
            </w:r>
            <w:r>
              <w:rPr>
                <w:rFonts w:ascii="宋体" w:hAnsi="宋体"/>
                <w:i/>
                <w:iCs/>
                <w:kern w:val="0"/>
                <w:sz w:val="18"/>
                <w:szCs w:val="18"/>
                <w:vertAlign w:val="subscript"/>
              </w:rPr>
              <w:t>2</w:t>
            </w:r>
            <w:r>
              <w:rPr>
                <w:rFonts w:hint="eastAsia" w:ascii="宋体" w:hAnsi="Times New Roman"/>
                <w:kern w:val="0"/>
                <w:sz w:val="18"/>
                <w:szCs w:val="18"/>
              </w:rPr>
              <w:t>—</w:t>
            </w:r>
            <w:r>
              <w:rPr>
                <w:rFonts w:ascii="宋体" w:hAnsi="Times New Roman"/>
                <w:kern w:val="0"/>
                <w:sz w:val="18"/>
                <w:szCs w:val="18"/>
              </w:rPr>
              <w:t>全年中当地日太阳辐照量小于13MJ/m</w:t>
            </w:r>
            <w:r>
              <w:rPr>
                <w:rFonts w:ascii="宋体" w:hAnsi="Times New Roman"/>
                <w:kern w:val="0"/>
                <w:sz w:val="18"/>
                <w:szCs w:val="18"/>
                <w:vertAlign w:val="superscript"/>
              </w:rPr>
              <w:t>2</w:t>
            </w:r>
            <w:r>
              <w:rPr>
                <w:rFonts w:ascii="宋体" w:hAnsi="Times New Roman"/>
                <w:kern w:val="0"/>
                <w:sz w:val="18"/>
                <w:szCs w:val="18"/>
              </w:rPr>
              <w:t>且大于等于8MJ/m</w:t>
            </w:r>
            <w:r>
              <w:rPr>
                <w:rFonts w:ascii="宋体" w:hAnsi="Times New Roman"/>
                <w:kern w:val="0"/>
                <w:sz w:val="18"/>
                <w:szCs w:val="18"/>
                <w:vertAlign w:val="superscript"/>
              </w:rPr>
              <w:t>2</w:t>
            </w:r>
            <w:r>
              <w:rPr>
                <w:rFonts w:ascii="宋体" w:hAnsi="Times New Roman"/>
                <w:kern w:val="0"/>
                <w:sz w:val="18"/>
                <w:szCs w:val="18"/>
              </w:rPr>
              <w:t>的天数，</w:t>
            </w:r>
            <w:r>
              <w:rPr>
                <w:rFonts w:hint="eastAsia" w:ascii="宋体" w:hAnsi="Times New Roman"/>
                <w:kern w:val="0"/>
                <w:sz w:val="18"/>
                <w:szCs w:val="18"/>
              </w:rPr>
              <w:t>单位为天（</w:t>
            </w:r>
            <w:r>
              <w:rPr>
                <w:rFonts w:ascii="宋体" w:hAnsi="Times New Roman"/>
                <w:kern w:val="0"/>
                <w:sz w:val="18"/>
                <w:szCs w:val="18"/>
              </w:rPr>
              <w:t>d）；</w:t>
            </w:r>
          </w:p>
          <w:p>
            <w:pPr>
              <w:widowControl/>
              <w:numPr>
                <w:ilvl w:val="255"/>
                <w:numId w:val="0"/>
              </w:numPr>
              <w:tabs>
                <w:tab w:val="left" w:pos="1140"/>
              </w:tabs>
              <w:autoSpaceDE w:val="0"/>
              <w:autoSpaceDN w:val="0"/>
              <w:adjustRightInd/>
              <w:snapToGrid w:val="0"/>
              <w:spacing w:line="240" w:lineRule="auto"/>
              <w:ind w:left="363" w:firstLine="360"/>
              <w:rPr>
                <w:rFonts w:ascii="宋体" w:hAnsi="Times New Roman"/>
                <w:kern w:val="0"/>
                <w:sz w:val="18"/>
                <w:szCs w:val="18"/>
              </w:rPr>
            </w:pPr>
            <w:r>
              <w:rPr>
                <w:rFonts w:ascii="宋体" w:hAnsi="宋体"/>
                <w:i/>
                <w:iCs/>
                <w:kern w:val="0"/>
                <w:sz w:val="18"/>
                <w:szCs w:val="18"/>
              </w:rPr>
              <w:t>x</w:t>
            </w:r>
            <w:r>
              <w:rPr>
                <w:rFonts w:ascii="宋体" w:hAnsi="宋体"/>
                <w:i/>
                <w:iCs/>
                <w:kern w:val="0"/>
                <w:sz w:val="18"/>
                <w:szCs w:val="18"/>
                <w:vertAlign w:val="subscript"/>
              </w:rPr>
              <w:t>3</w:t>
            </w:r>
            <w:r>
              <w:rPr>
                <w:rFonts w:hint="eastAsia" w:ascii="宋体" w:hAnsi="Times New Roman"/>
                <w:kern w:val="0"/>
                <w:sz w:val="18"/>
                <w:szCs w:val="18"/>
              </w:rPr>
              <w:t>—</w:t>
            </w:r>
            <w:r>
              <w:rPr>
                <w:rFonts w:ascii="宋体" w:hAnsi="Times New Roman"/>
                <w:kern w:val="0"/>
                <w:sz w:val="18"/>
                <w:szCs w:val="18"/>
              </w:rPr>
              <w:t>全年中当地日太阳辐照量小于18MJ/m</w:t>
            </w:r>
            <w:r>
              <w:rPr>
                <w:rFonts w:ascii="宋体" w:hAnsi="Times New Roman"/>
                <w:kern w:val="0"/>
                <w:sz w:val="18"/>
                <w:szCs w:val="18"/>
                <w:vertAlign w:val="superscript"/>
              </w:rPr>
              <w:t>2</w:t>
            </w:r>
            <w:r>
              <w:rPr>
                <w:rFonts w:ascii="宋体" w:hAnsi="Times New Roman"/>
                <w:kern w:val="0"/>
                <w:sz w:val="18"/>
                <w:szCs w:val="18"/>
              </w:rPr>
              <w:t>且大于等于13MJ/m</w:t>
            </w:r>
            <w:r>
              <w:rPr>
                <w:rFonts w:ascii="宋体" w:hAnsi="Times New Roman"/>
                <w:kern w:val="0"/>
                <w:sz w:val="18"/>
                <w:szCs w:val="18"/>
                <w:vertAlign w:val="superscript"/>
              </w:rPr>
              <w:t>2</w:t>
            </w:r>
            <w:r>
              <w:rPr>
                <w:rFonts w:ascii="宋体" w:hAnsi="Times New Roman"/>
                <w:kern w:val="0"/>
                <w:sz w:val="18"/>
                <w:szCs w:val="18"/>
              </w:rPr>
              <w:t>的天数，</w:t>
            </w:r>
            <w:r>
              <w:rPr>
                <w:rFonts w:hint="eastAsia" w:ascii="宋体" w:hAnsi="Times New Roman"/>
                <w:kern w:val="0"/>
                <w:sz w:val="18"/>
                <w:szCs w:val="18"/>
              </w:rPr>
              <w:t>单位为天（</w:t>
            </w:r>
            <w:r>
              <w:rPr>
                <w:rFonts w:ascii="宋体" w:hAnsi="Times New Roman"/>
                <w:kern w:val="0"/>
                <w:sz w:val="18"/>
                <w:szCs w:val="18"/>
              </w:rPr>
              <w:t>d）；</w:t>
            </w:r>
          </w:p>
          <w:p>
            <w:pPr>
              <w:widowControl/>
              <w:numPr>
                <w:ilvl w:val="255"/>
                <w:numId w:val="0"/>
              </w:numPr>
              <w:tabs>
                <w:tab w:val="left" w:pos="1140"/>
              </w:tabs>
              <w:autoSpaceDE w:val="0"/>
              <w:autoSpaceDN w:val="0"/>
              <w:adjustRightInd/>
              <w:snapToGrid w:val="0"/>
              <w:spacing w:line="240" w:lineRule="auto"/>
              <w:ind w:left="363" w:firstLine="360"/>
              <w:rPr>
                <w:rFonts w:ascii="宋体" w:hAnsi="宋体"/>
                <w:sz w:val="18"/>
                <w:szCs w:val="18"/>
              </w:rPr>
            </w:pPr>
            <w:r>
              <w:rPr>
                <w:rFonts w:ascii="宋体" w:hAnsi="宋体"/>
                <w:i/>
                <w:iCs/>
                <w:kern w:val="0"/>
                <w:sz w:val="18"/>
                <w:szCs w:val="18"/>
              </w:rPr>
              <w:t>x</w:t>
            </w:r>
            <w:r>
              <w:rPr>
                <w:rFonts w:ascii="宋体" w:hAnsi="宋体"/>
                <w:i/>
                <w:iCs/>
                <w:kern w:val="0"/>
                <w:sz w:val="18"/>
                <w:szCs w:val="18"/>
                <w:vertAlign w:val="subscript"/>
              </w:rPr>
              <w:t>4</w:t>
            </w:r>
            <w:r>
              <w:rPr>
                <w:rFonts w:hint="eastAsia" w:ascii="宋体" w:hAnsi="Times New Roman"/>
                <w:kern w:val="0"/>
                <w:sz w:val="18"/>
                <w:szCs w:val="18"/>
              </w:rPr>
              <w:t>—</w:t>
            </w:r>
            <w:r>
              <w:rPr>
                <w:rFonts w:ascii="宋体" w:hAnsi="Times New Roman"/>
                <w:kern w:val="0"/>
                <w:sz w:val="18"/>
                <w:szCs w:val="18"/>
              </w:rPr>
              <w:t>全年中当地日太阳辐照量大于等于18MJ/m</w:t>
            </w:r>
            <w:r>
              <w:rPr>
                <w:rFonts w:ascii="宋体" w:hAnsi="Times New Roman"/>
                <w:kern w:val="0"/>
                <w:sz w:val="18"/>
                <w:szCs w:val="18"/>
                <w:vertAlign w:val="superscript"/>
              </w:rPr>
              <w:t>2</w:t>
            </w:r>
            <w:r>
              <w:rPr>
                <w:rFonts w:ascii="宋体" w:hAnsi="Times New Roman"/>
                <w:kern w:val="0"/>
                <w:sz w:val="18"/>
                <w:szCs w:val="18"/>
              </w:rPr>
              <w:t>的天数，</w:t>
            </w:r>
            <w:r>
              <w:rPr>
                <w:rFonts w:hint="eastAsia" w:ascii="宋体" w:hAnsi="Times New Roman"/>
                <w:kern w:val="0"/>
                <w:sz w:val="18"/>
                <w:szCs w:val="18"/>
              </w:rPr>
              <w:t>单位为天（</w:t>
            </w:r>
            <w:r>
              <w:rPr>
                <w:rFonts w:ascii="宋体" w:hAnsi="Times New Roman"/>
                <w:kern w:val="0"/>
                <w:sz w:val="18"/>
                <w:szCs w:val="18"/>
              </w:rPr>
              <w:t>d）。</w:t>
            </w:r>
          </w:p>
        </w:tc>
      </w:tr>
    </w:tbl>
    <w:p>
      <w:pPr>
        <w:pStyle w:val="58"/>
        <w:ind w:firstLine="420"/>
      </w:pPr>
    </w:p>
    <w:p>
      <w:pPr>
        <w:pStyle w:val="200"/>
        <w:rPr>
          <w:vanish w:val="0"/>
        </w:rPr>
      </w:pPr>
    </w:p>
    <w:p>
      <w:pPr>
        <w:pStyle w:val="201"/>
        <w:numPr>
          <w:ilvl w:val="0"/>
          <w:numId w:val="0"/>
        </w:numPr>
        <w:rPr>
          <w:vanish w:val="0"/>
        </w:rPr>
      </w:pPr>
      <w:r>
        <w:rPr>
          <w:rFonts w:hint="eastAsia"/>
          <w:vanish w:val="0"/>
        </w:rPr>
        <w:t>C</w:t>
      </w:r>
    </w:p>
    <w:p>
      <w:pPr>
        <w:pStyle w:val="58"/>
        <w:ind w:firstLine="420"/>
        <w:sectPr>
          <w:headerReference r:id="rId29" w:type="default"/>
          <w:footerReference r:id="rId31" w:type="default"/>
          <w:headerReference r:id="rId30" w:type="even"/>
          <w:footerReference r:id="rId32" w:type="even"/>
          <w:pgSz w:w="11906" w:h="16838"/>
          <w:pgMar w:top="1928" w:right="1134" w:bottom="1134" w:left="1134" w:header="1418" w:footer="1134" w:gutter="284"/>
          <w:cols w:space="425" w:num="1"/>
          <w:formProt w:val="0"/>
          <w:docGrid w:type="lines" w:linePitch="312" w:charSpace="0"/>
        </w:sectPr>
      </w:pPr>
      <w:bookmarkStart w:id="166" w:name="_Toc178339521"/>
      <w:bookmarkEnd w:id="166"/>
    </w:p>
    <w:p>
      <w:pPr>
        <w:pStyle w:val="201"/>
        <w:rPr>
          <w:rFonts w:hint="eastAsia"/>
          <w:vanish w:val="0"/>
        </w:rPr>
      </w:pPr>
    </w:p>
    <w:p>
      <w:pPr>
        <w:pStyle w:val="78"/>
        <w:spacing w:after="156"/>
        <w:rPr>
          <w:rFonts w:hint="eastAsia"/>
        </w:rPr>
      </w:pPr>
      <w:r>
        <w:br w:type="textWrapping"/>
      </w:r>
      <w:bookmarkStart w:id="167" w:name="_Toc178345020"/>
      <w:r>
        <w:rPr>
          <w:rFonts w:hint="eastAsia"/>
        </w:rPr>
        <w:t>（规范性）</w:t>
      </w:r>
      <w:r>
        <w:br w:type="textWrapping"/>
      </w:r>
      <w:r>
        <w:rPr>
          <w:rFonts w:hint="eastAsia"/>
        </w:rPr>
        <w:t>中温太阳能空调系统试验要求及参数计算方法</w:t>
      </w:r>
      <w:bookmarkEnd w:id="167"/>
    </w:p>
    <w:p>
      <w:pPr>
        <w:pStyle w:val="80"/>
        <w:spacing w:before="156" w:after="156"/>
      </w:pPr>
      <w:bookmarkStart w:id="168" w:name="_Toc178339527"/>
      <w:bookmarkStart w:id="169" w:name="_Toc178345021"/>
      <w:bookmarkStart w:id="170" w:name="_Toc4919"/>
      <w:bookmarkStart w:id="171" w:name="_Toc17600"/>
      <w:r>
        <w:rPr>
          <w:rFonts w:hint="eastAsia"/>
        </w:rPr>
        <w:t>计量设备类型及准确度</w:t>
      </w:r>
      <w:bookmarkEnd w:id="168"/>
      <w:bookmarkEnd w:id="169"/>
      <w:bookmarkEnd w:id="170"/>
      <w:bookmarkEnd w:id="171"/>
    </w:p>
    <w:p>
      <w:pPr>
        <w:pStyle w:val="81"/>
        <w:spacing w:before="156" w:after="156"/>
        <w:ind w:left="0"/>
      </w:pPr>
      <w:r>
        <w:rPr>
          <w:rFonts w:hint="eastAsia"/>
        </w:rPr>
        <w:t>太阳辐照</w:t>
      </w:r>
    </w:p>
    <w:p>
      <w:pPr>
        <w:pStyle w:val="58"/>
        <w:ind w:firstLine="420"/>
      </w:pPr>
      <w:r>
        <w:rPr>
          <w:rFonts w:hint="eastAsia"/>
        </w:rPr>
        <w:t>使用二级总辐射表测量太阳总辐照度，二级直辐射表测量太阳直射辐照度。</w:t>
      </w:r>
    </w:p>
    <w:p>
      <w:pPr>
        <w:pStyle w:val="81"/>
        <w:spacing w:before="156" w:after="156"/>
        <w:ind w:left="0"/>
      </w:pPr>
      <w:r>
        <w:rPr>
          <w:rFonts w:hint="eastAsia"/>
        </w:rPr>
        <w:t>温度</w:t>
      </w:r>
    </w:p>
    <w:p>
      <w:pPr>
        <w:pStyle w:val="58"/>
        <w:ind w:firstLine="420"/>
      </w:pPr>
      <w:r>
        <w:rPr>
          <w:rFonts w:hint="eastAsia"/>
        </w:rPr>
        <w:t>温度计量设备的准确度和最小分辨率应符合表D.1的规定，响应时间应小于5s。</w:t>
      </w:r>
    </w:p>
    <w:p>
      <w:pPr>
        <w:pStyle w:val="58"/>
        <w:ind w:firstLine="420"/>
      </w:pPr>
      <w:r>
        <w:rPr>
          <w:rFonts w:hint="eastAsia"/>
        </w:rPr>
        <w:t>环境空气温度应使用遮阳且通风的采样器件，在高于地面1m处及离太阳能集热系统（1.5</w:t>
      </w:r>
      <w:r>
        <w:rPr>
          <w:rFonts w:hint="eastAsia" w:hAnsi="宋体" w:cs="宋体"/>
        </w:rPr>
        <w:t>～</w:t>
      </w:r>
      <w:r>
        <w:rPr>
          <w:rFonts w:hint="eastAsia"/>
        </w:rPr>
        <w:t>10）m处的百叶箱内测试。在系统附近不应有烟囱、冷却塔或热气排风扇等。</w:t>
      </w:r>
    </w:p>
    <w:p>
      <w:pPr>
        <w:pStyle w:val="238"/>
        <w:widowControl/>
        <w:numPr>
          <w:ilvl w:val="0"/>
          <w:numId w:val="5"/>
        </w:numPr>
        <w:autoSpaceDE w:val="0"/>
        <w:autoSpaceDN w:val="0"/>
        <w:adjustRightInd/>
        <w:spacing w:line="14" w:lineRule="exact"/>
        <w:ind w:firstLineChars="0"/>
        <w:jc w:val="center"/>
        <w:rPr>
          <w:rFonts w:hint="eastAsia" w:ascii="宋体" w:hAnsi="Times New Roman" w:eastAsia="黑体"/>
          <w:vanish/>
          <w:kern w:val="0"/>
          <w:sz w:val="2"/>
          <w:szCs w:val="20"/>
        </w:rPr>
      </w:pPr>
    </w:p>
    <w:p>
      <w:pPr>
        <w:pStyle w:val="79"/>
        <w:spacing w:before="156" w:after="156"/>
      </w:pPr>
      <w:r>
        <w:rPr>
          <w:rFonts w:hint="eastAsia"/>
        </w:rPr>
        <w:t>温度计量设备的准确度和分辨率</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124"/>
        <w:gridCol w:w="3125"/>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3124" w:type="dxa"/>
            <w:tcBorders>
              <w:top w:val="single" w:color="auto" w:sz="8" w:space="0"/>
              <w:bottom w:val="single" w:color="auto" w:sz="8" w:space="0"/>
            </w:tcBorders>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参数</w:t>
            </w:r>
          </w:p>
        </w:tc>
        <w:tc>
          <w:tcPr>
            <w:tcW w:w="3125" w:type="dxa"/>
            <w:tcBorders>
              <w:top w:val="single" w:color="auto" w:sz="8" w:space="0"/>
              <w:bottom w:val="single" w:color="auto" w:sz="8" w:space="0"/>
            </w:tcBorders>
            <w:shd w:val="clear" w:color="auto" w:fill="auto"/>
            <w:vAlign w:val="center"/>
          </w:tcPr>
          <w:p>
            <w:pPr>
              <w:autoSpaceDE w:val="0"/>
              <w:autoSpaceDN w:val="0"/>
              <w:snapToGrid w:val="0"/>
              <w:jc w:val="center"/>
              <w:rPr>
                <w:rFonts w:ascii="宋体" w:hAnsi="宋体"/>
                <w:color w:val="FF0000"/>
                <w:kern w:val="0"/>
                <w:sz w:val="18"/>
                <w:szCs w:val="18"/>
              </w:rPr>
            </w:pPr>
            <w:r>
              <w:rPr>
                <w:rFonts w:ascii="宋体" w:hAnsi="宋体"/>
                <w:kern w:val="0"/>
                <w:sz w:val="18"/>
                <w:szCs w:val="18"/>
              </w:rPr>
              <w:t>准确度</w:t>
            </w:r>
          </w:p>
        </w:tc>
        <w:tc>
          <w:tcPr>
            <w:tcW w:w="3125" w:type="dxa"/>
            <w:tcBorders>
              <w:top w:val="single" w:color="auto" w:sz="8" w:space="0"/>
              <w:bottom w:val="single" w:color="auto" w:sz="8" w:space="0"/>
            </w:tcBorders>
            <w:shd w:val="clear" w:color="auto" w:fill="auto"/>
            <w:vAlign w:val="center"/>
          </w:tcPr>
          <w:p>
            <w:pPr>
              <w:autoSpaceDE w:val="0"/>
              <w:autoSpaceDN w:val="0"/>
              <w:snapToGrid w:val="0"/>
              <w:jc w:val="center"/>
              <w:rPr>
                <w:rFonts w:ascii="宋体" w:hAnsi="宋体"/>
                <w:kern w:val="0"/>
                <w:sz w:val="18"/>
                <w:szCs w:val="18"/>
              </w:rPr>
            </w:pPr>
            <w:r>
              <w:rPr>
                <w:rFonts w:hint="eastAsia" w:ascii="宋体" w:hAnsi="宋体"/>
                <w:kern w:val="0"/>
                <w:sz w:val="18"/>
                <w:szCs w:val="18"/>
              </w:rPr>
              <w:t>分辨率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tcBorders>
              <w:top w:val="single" w:color="auto" w:sz="8" w:space="0"/>
            </w:tcBorders>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环境空气温度</w:t>
            </w:r>
          </w:p>
        </w:tc>
        <w:tc>
          <w:tcPr>
            <w:tcW w:w="3125" w:type="dxa"/>
            <w:tcBorders>
              <w:top w:val="single" w:color="auto" w:sz="8" w:space="0"/>
            </w:tcBorders>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±0.5℃</w:t>
            </w:r>
          </w:p>
        </w:tc>
        <w:tc>
          <w:tcPr>
            <w:tcW w:w="3125" w:type="dxa"/>
            <w:tcBorders>
              <w:top w:val="single" w:color="auto" w:sz="8" w:space="0"/>
            </w:tcBorders>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热源温度</w:t>
            </w:r>
          </w:p>
        </w:tc>
        <w:tc>
          <w:tcPr>
            <w:tcW w:w="3125" w:type="dxa"/>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±0.2℃</w:t>
            </w:r>
          </w:p>
        </w:tc>
        <w:tc>
          <w:tcPr>
            <w:tcW w:w="3125" w:type="dxa"/>
            <w:shd w:val="clear" w:color="auto" w:fill="auto"/>
            <w:vAlign w:val="center"/>
          </w:tcPr>
          <w:p>
            <w:pPr>
              <w:autoSpaceDE w:val="0"/>
              <w:autoSpaceDN w:val="0"/>
              <w:snapToGrid w:val="0"/>
              <w:jc w:val="center"/>
              <w:rPr>
                <w:rFonts w:ascii="宋体" w:hAnsi="宋体"/>
                <w:kern w:val="0"/>
                <w:sz w:val="18"/>
                <w:szCs w:val="18"/>
              </w:rPr>
            </w:pPr>
            <w:r>
              <w:rPr>
                <w:rFonts w:ascii="宋体" w:hAnsi="宋体"/>
                <w:kern w:val="0"/>
                <w:sz w:val="18"/>
                <w:szCs w:val="18"/>
              </w:rPr>
              <w:t>0.1℃</w:t>
            </w:r>
          </w:p>
        </w:tc>
      </w:tr>
    </w:tbl>
    <w:p>
      <w:pPr>
        <w:pStyle w:val="81"/>
        <w:spacing w:before="156" w:after="156"/>
        <w:ind w:left="0"/>
      </w:pPr>
      <w:r>
        <w:rPr>
          <w:rFonts w:hint="eastAsia"/>
        </w:rPr>
        <w:t>流量</w:t>
      </w:r>
    </w:p>
    <w:p>
      <w:pPr>
        <w:pStyle w:val="58"/>
        <w:ind w:firstLine="420"/>
      </w:pPr>
      <w:r>
        <w:rPr>
          <w:rFonts w:hint="eastAsia"/>
        </w:rPr>
        <w:t>液体流量的测量准确度应为±1.0%。</w:t>
      </w:r>
    </w:p>
    <w:p>
      <w:pPr>
        <w:pStyle w:val="81"/>
        <w:spacing w:before="156" w:after="156"/>
        <w:ind w:left="0"/>
      </w:pPr>
      <w:r>
        <w:rPr>
          <w:rFonts w:hint="eastAsia"/>
        </w:rPr>
        <w:t>风速</w:t>
      </w:r>
    </w:p>
    <w:p>
      <w:pPr>
        <w:pStyle w:val="58"/>
        <w:ind w:firstLine="420"/>
      </w:pPr>
      <w:r>
        <w:rPr>
          <w:rFonts w:hint="eastAsia"/>
        </w:rPr>
        <w:t>在每个试验期，使用风速测量仪测量周围空气的速率，准确度应为0.5 m/s。风速传感器安装位置同环境温度。</w:t>
      </w:r>
    </w:p>
    <w:p>
      <w:pPr>
        <w:pStyle w:val="81"/>
        <w:spacing w:before="156" w:after="156"/>
        <w:ind w:left="0"/>
      </w:pPr>
      <w:r>
        <w:rPr>
          <w:rFonts w:hint="eastAsia"/>
        </w:rPr>
        <w:t>湿度</w:t>
      </w:r>
    </w:p>
    <w:p>
      <w:pPr>
        <w:pStyle w:val="58"/>
        <w:ind w:firstLine="420"/>
      </w:pPr>
      <w:r>
        <w:rPr>
          <w:rFonts w:hint="eastAsia"/>
        </w:rPr>
        <w:t>湿度测量设备的准确度应为±2.0%RH。</w:t>
      </w:r>
    </w:p>
    <w:p>
      <w:pPr>
        <w:pStyle w:val="81"/>
        <w:spacing w:before="156" w:after="156"/>
        <w:ind w:left="0"/>
      </w:pPr>
      <w:r>
        <w:rPr>
          <w:rFonts w:hint="eastAsia"/>
        </w:rPr>
        <w:t>压力</w:t>
      </w:r>
    </w:p>
    <w:p>
      <w:pPr>
        <w:pStyle w:val="58"/>
        <w:ind w:firstLine="420"/>
      </w:pPr>
      <w:r>
        <w:rPr>
          <w:rFonts w:hint="eastAsia"/>
        </w:rPr>
        <w:t>压力测量设备的准确度应为±1.0%。</w:t>
      </w:r>
    </w:p>
    <w:p>
      <w:pPr>
        <w:pStyle w:val="81"/>
        <w:spacing w:before="156" w:after="156"/>
        <w:ind w:left="0"/>
      </w:pPr>
      <w:r>
        <w:rPr>
          <w:rFonts w:hint="eastAsia"/>
        </w:rPr>
        <w:t>电气参数</w:t>
      </w:r>
    </w:p>
    <w:p>
      <w:pPr>
        <w:pStyle w:val="58"/>
        <w:ind w:firstLine="420"/>
      </w:pPr>
      <w:r>
        <w:rPr>
          <w:rFonts w:hint="eastAsia"/>
        </w:rPr>
        <w:t>电气参数测量设备的准确度应为±1.0%。</w:t>
      </w:r>
    </w:p>
    <w:p>
      <w:pPr>
        <w:pStyle w:val="81"/>
        <w:spacing w:before="156" w:after="156"/>
        <w:ind w:left="0"/>
      </w:pPr>
      <w:r>
        <w:rPr>
          <w:rFonts w:hint="eastAsia"/>
        </w:rPr>
        <w:t>时间</w:t>
      </w:r>
    </w:p>
    <w:p>
      <w:pPr>
        <w:pStyle w:val="58"/>
        <w:ind w:firstLine="420"/>
      </w:pPr>
      <w:r>
        <w:rPr>
          <w:rFonts w:hint="eastAsia"/>
        </w:rPr>
        <w:t>时间测量设备的准确度应为±0.2%。</w:t>
      </w:r>
    </w:p>
    <w:p>
      <w:pPr>
        <w:pStyle w:val="80"/>
        <w:spacing w:before="156" w:after="156"/>
      </w:pPr>
      <w:bookmarkStart w:id="172" w:name="_Toc25399"/>
      <w:bookmarkStart w:id="173" w:name="_Toc178339528"/>
      <w:bookmarkStart w:id="174" w:name="_Toc178345022"/>
      <w:bookmarkStart w:id="175" w:name="_Toc5150"/>
      <w:r>
        <w:rPr>
          <w:rFonts w:hint="eastAsia"/>
        </w:rPr>
        <w:t>试验条件</w:t>
      </w:r>
      <w:bookmarkEnd w:id="172"/>
      <w:bookmarkEnd w:id="173"/>
      <w:bookmarkEnd w:id="174"/>
      <w:bookmarkEnd w:id="175"/>
    </w:p>
    <w:p>
      <w:pPr>
        <w:widowControl/>
        <w:tabs>
          <w:tab w:val="center" w:pos="4201"/>
          <w:tab w:val="right" w:leader="dot" w:pos="9298"/>
        </w:tabs>
        <w:autoSpaceDE w:val="0"/>
        <w:autoSpaceDN w:val="0"/>
        <w:adjustRightInd/>
        <w:spacing w:line="240" w:lineRule="auto"/>
        <w:ind w:firstLine="420" w:firstLineChars="200"/>
        <w:rPr>
          <w:rFonts w:ascii="宋体" w:hAnsi="宋体"/>
          <w:kern w:val="0"/>
          <w:szCs w:val="20"/>
        </w:rPr>
      </w:pPr>
      <w:r>
        <w:rPr>
          <w:rFonts w:ascii="宋体" w:hAnsi="宋体"/>
          <w:kern w:val="0"/>
          <w:szCs w:val="20"/>
        </w:rPr>
        <w:t>试验时应</w:t>
      </w:r>
      <w:r>
        <w:rPr>
          <w:rFonts w:hint="eastAsia" w:ascii="宋体" w:hAnsi="宋体"/>
          <w:kern w:val="0"/>
          <w:szCs w:val="20"/>
        </w:rPr>
        <w:t>满足</w:t>
      </w:r>
      <w:r>
        <w:rPr>
          <w:rFonts w:ascii="宋体" w:hAnsi="宋体"/>
          <w:kern w:val="0"/>
          <w:szCs w:val="20"/>
        </w:rPr>
        <w:t>的工况条件如下：</w:t>
      </w:r>
    </w:p>
    <w:p>
      <w:pPr>
        <w:pStyle w:val="176"/>
        <w:numPr>
          <w:ilvl w:val="0"/>
          <w:numId w:val="40"/>
        </w:numPr>
      </w:pPr>
      <w:r>
        <w:t>电源，额定频率±1Hz，额定电压±10%；</w:t>
      </w:r>
    </w:p>
    <w:p>
      <w:pPr>
        <w:pStyle w:val="176"/>
        <w:numPr>
          <w:ilvl w:val="0"/>
          <w:numId w:val="35"/>
        </w:numPr>
      </w:pPr>
      <w:r>
        <w:t>环境温度，0</w:t>
      </w:r>
      <w:r>
        <w:rPr>
          <w:rFonts w:hint="eastAsia" w:hAnsi="宋体" w:cs="宋体"/>
        </w:rPr>
        <w:t>℃</w:t>
      </w:r>
      <w:r>
        <w:rPr>
          <w:rFonts w:hint="eastAsia"/>
          <w:sz w:val="18"/>
          <w:szCs w:val="18"/>
        </w:rPr>
        <w:t>～</w:t>
      </w:r>
      <w:r>
        <w:t>39</w:t>
      </w:r>
      <w:r>
        <w:rPr>
          <w:rFonts w:hint="eastAsia" w:hAnsi="宋体" w:cs="宋体"/>
        </w:rPr>
        <w:t>℃</w:t>
      </w:r>
      <w:r>
        <w:t>；</w:t>
      </w:r>
    </w:p>
    <w:p>
      <w:pPr>
        <w:pStyle w:val="176"/>
        <w:numPr>
          <w:ilvl w:val="0"/>
          <w:numId w:val="35"/>
        </w:numPr>
      </w:pPr>
      <w:r>
        <w:t>风速，试验期间平均速率不大于4 m/s；</w:t>
      </w:r>
    </w:p>
    <w:p>
      <w:pPr>
        <w:pStyle w:val="176"/>
        <w:numPr>
          <w:ilvl w:val="0"/>
          <w:numId w:val="35"/>
        </w:numPr>
      </w:pPr>
      <w:r>
        <w:rPr>
          <w:rFonts w:hint="eastAsia"/>
        </w:rPr>
        <w:t>当</w:t>
      </w:r>
      <w:r>
        <w:t>驱动热源为蒸汽时，进口压力为额定值±20kPa；</w:t>
      </w:r>
    </w:p>
    <w:p>
      <w:pPr>
        <w:pStyle w:val="176"/>
        <w:numPr>
          <w:ilvl w:val="0"/>
          <w:numId w:val="35"/>
        </w:numPr>
      </w:pPr>
      <w:r>
        <w:rPr>
          <w:rFonts w:hint="eastAsia"/>
        </w:rPr>
        <w:t>当</w:t>
      </w:r>
      <w:r>
        <w:t>驱动热源为热水时，进口温度为额定值±1.0ºC，流量为额定值±5％；</w:t>
      </w:r>
    </w:p>
    <w:p>
      <w:pPr>
        <w:pStyle w:val="176"/>
        <w:numPr>
          <w:ilvl w:val="0"/>
          <w:numId w:val="35"/>
        </w:numPr>
      </w:pPr>
      <w:r>
        <w:rPr>
          <w:rFonts w:hint="eastAsia"/>
        </w:rPr>
        <w:t>当</w:t>
      </w:r>
      <w:r>
        <w:t>驱动热源为导热油时，进口温度为额定值±2.0ºC，流量为额定值±5％；</w:t>
      </w:r>
    </w:p>
    <w:p>
      <w:pPr>
        <w:pStyle w:val="176"/>
        <w:numPr>
          <w:ilvl w:val="0"/>
          <w:numId w:val="35"/>
        </w:numPr>
      </w:pPr>
      <w:r>
        <w:t>测试工况：每一典型太阳辐照区间测试天数不应少于1d，太阳辐照</w:t>
      </w:r>
      <w:r>
        <w:rPr>
          <w:rFonts w:hint="eastAsia"/>
        </w:rPr>
        <w:t>量测试时间范围为：8:00</w:t>
      </w:r>
      <w:r>
        <w:rPr>
          <w:rFonts w:hint="eastAsia"/>
          <w:color w:val="000000"/>
          <w:sz w:val="18"/>
          <w:szCs w:val="18"/>
        </w:rPr>
        <w:t>～</w:t>
      </w:r>
      <w:r>
        <w:rPr>
          <w:rFonts w:hint="eastAsia"/>
        </w:rPr>
        <w:t>16:00，</w:t>
      </w:r>
      <w:r>
        <w:t>太阳辐照区间划分应符合下列规定：</w:t>
      </w:r>
    </w:p>
    <w:p>
      <w:pPr>
        <w:widowControl/>
        <w:numPr>
          <w:ilvl w:val="0"/>
          <w:numId w:val="41"/>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H＜8 MJ/(m</w:t>
      </w:r>
      <w:r>
        <w:rPr>
          <w:rFonts w:ascii="宋体" w:hAnsi="宋体"/>
          <w:kern w:val="0"/>
          <w:szCs w:val="20"/>
          <w:vertAlign w:val="superscript"/>
        </w:rPr>
        <w:t>2</w:t>
      </w:r>
      <w:r>
        <w:rPr>
          <w:rFonts w:ascii="宋体" w:hAnsi="宋体"/>
          <w:kern w:val="0"/>
          <w:szCs w:val="20"/>
        </w:rPr>
        <w:t>·d)；</w:t>
      </w:r>
    </w:p>
    <w:p>
      <w:pPr>
        <w:widowControl/>
        <w:numPr>
          <w:ilvl w:val="0"/>
          <w:numId w:val="41"/>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8 MJ/(m</w:t>
      </w:r>
      <w:r>
        <w:rPr>
          <w:rFonts w:ascii="宋体" w:hAnsi="宋体"/>
          <w:kern w:val="0"/>
          <w:szCs w:val="20"/>
          <w:vertAlign w:val="superscript"/>
        </w:rPr>
        <w:t>2</w:t>
      </w:r>
      <w:r>
        <w:rPr>
          <w:rFonts w:ascii="宋体" w:hAnsi="宋体"/>
          <w:kern w:val="0"/>
          <w:szCs w:val="20"/>
        </w:rPr>
        <w:t>·d)≤H＜13 MJ/(m</w:t>
      </w:r>
      <w:r>
        <w:rPr>
          <w:rFonts w:ascii="宋体" w:hAnsi="宋体"/>
          <w:kern w:val="0"/>
          <w:szCs w:val="20"/>
          <w:vertAlign w:val="superscript"/>
        </w:rPr>
        <w:t>2</w:t>
      </w:r>
      <w:r>
        <w:rPr>
          <w:rFonts w:ascii="宋体" w:hAnsi="宋体"/>
          <w:kern w:val="0"/>
          <w:szCs w:val="20"/>
        </w:rPr>
        <w:t>·d)；</w:t>
      </w:r>
    </w:p>
    <w:p>
      <w:pPr>
        <w:widowControl/>
        <w:numPr>
          <w:ilvl w:val="0"/>
          <w:numId w:val="41"/>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13 MJ/(m</w:t>
      </w:r>
      <w:r>
        <w:rPr>
          <w:rFonts w:ascii="宋体" w:hAnsi="宋体"/>
          <w:kern w:val="0"/>
          <w:szCs w:val="20"/>
          <w:vertAlign w:val="superscript"/>
        </w:rPr>
        <w:t>2</w:t>
      </w:r>
      <w:r>
        <w:rPr>
          <w:rFonts w:ascii="宋体" w:hAnsi="宋体"/>
          <w:kern w:val="0"/>
          <w:szCs w:val="20"/>
        </w:rPr>
        <w:t>·d)≤H＜18 MJ/(m</w:t>
      </w:r>
      <w:r>
        <w:rPr>
          <w:rFonts w:ascii="宋体" w:hAnsi="宋体"/>
          <w:kern w:val="0"/>
          <w:szCs w:val="20"/>
          <w:vertAlign w:val="superscript"/>
        </w:rPr>
        <w:t>2</w:t>
      </w:r>
      <w:r>
        <w:rPr>
          <w:rFonts w:ascii="宋体" w:hAnsi="宋体"/>
          <w:kern w:val="0"/>
          <w:szCs w:val="20"/>
        </w:rPr>
        <w:t>·d)；</w:t>
      </w:r>
    </w:p>
    <w:p>
      <w:pPr>
        <w:widowControl/>
        <w:numPr>
          <w:ilvl w:val="0"/>
          <w:numId w:val="41"/>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H≥18 MJ/(m</w:t>
      </w:r>
      <w:r>
        <w:rPr>
          <w:rFonts w:ascii="宋体" w:hAnsi="宋体"/>
          <w:kern w:val="0"/>
          <w:szCs w:val="20"/>
          <w:vertAlign w:val="superscript"/>
        </w:rPr>
        <w:t>2</w:t>
      </w:r>
      <w:r>
        <w:rPr>
          <w:rFonts w:ascii="宋体" w:hAnsi="宋体"/>
          <w:kern w:val="0"/>
          <w:szCs w:val="20"/>
        </w:rPr>
        <w:t>·d)。</w:t>
      </w:r>
    </w:p>
    <w:p>
      <w:pPr>
        <w:pStyle w:val="181"/>
      </w:pPr>
      <w:r>
        <w:rPr>
          <w:rFonts w:hint="eastAsia"/>
        </w:rPr>
        <w:t>我</w:t>
      </w:r>
      <w:r>
        <w:t>国大部分地区，阴雨天气的太阳辐照量为H＜8MJ/（m</w:t>
      </w:r>
      <w:r>
        <w:rPr>
          <w:vertAlign w:val="superscript"/>
        </w:rPr>
        <w:t>2</w:t>
      </w:r>
      <w:r>
        <w:t>·d）；阴间多云时的太阳辐照量为8MJ/（m</w:t>
      </w:r>
      <w:r>
        <w:rPr>
          <w:vertAlign w:val="superscript"/>
        </w:rPr>
        <w:t>2</w:t>
      </w:r>
      <w:r>
        <w:t>·d）≤H＜13MJ/（m</w:t>
      </w:r>
      <w:r>
        <w:rPr>
          <w:vertAlign w:val="superscript"/>
        </w:rPr>
        <w:t>2</w:t>
      </w:r>
      <w:r>
        <w:t>·d）；晴间多云时的</w:t>
      </w:r>
      <w:r>
        <w:rPr>
          <w:rFonts w:hint="eastAsia"/>
        </w:rPr>
        <w:t>太阳</w:t>
      </w:r>
      <w:r>
        <w:t>辐照量为13MJ/（m</w:t>
      </w:r>
      <w:r>
        <w:rPr>
          <w:vertAlign w:val="superscript"/>
        </w:rPr>
        <w:t>2</w:t>
      </w:r>
      <w:r>
        <w:t>·d）≤H＜18MJ/（m</w:t>
      </w:r>
      <w:r>
        <w:rPr>
          <w:vertAlign w:val="superscript"/>
        </w:rPr>
        <w:t>2</w:t>
      </w:r>
      <w:r>
        <w:t>·d）；天气晴朗时的太阳辐照量为H≥18MJ/（m</w:t>
      </w:r>
      <w:r>
        <w:rPr>
          <w:vertAlign w:val="superscript"/>
        </w:rPr>
        <w:t>2</w:t>
      </w:r>
      <w:r>
        <w:t>·d）。太阳辐照不同，太阳能集热器的转换效率也会有所不同。</w:t>
      </w:r>
    </w:p>
    <w:p>
      <w:pPr>
        <w:pStyle w:val="176"/>
        <w:numPr>
          <w:ilvl w:val="0"/>
          <w:numId w:val="35"/>
        </w:numPr>
      </w:pPr>
      <w:r>
        <w:rPr>
          <w:rFonts w:hint="eastAsia"/>
        </w:rPr>
        <w:t>驱动制冷机组的工况试验条件按表D.2～表D.4的规定执行。</w:t>
      </w:r>
    </w:p>
    <w:p>
      <w:pPr>
        <w:pStyle w:val="79"/>
        <w:spacing w:before="156" w:after="156"/>
      </w:pPr>
      <w:r>
        <w:rPr>
          <w:rFonts w:hint="eastAsia"/>
        </w:rPr>
        <w:t>吸附式中温太阳能制冷机组制冷工况试验条件</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124"/>
        <w:gridCol w:w="3125"/>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3124"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吸附式制冷工质</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热源驱动温度</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流量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活性炭体系</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70℃</w:t>
            </w:r>
            <w:r>
              <w:rPr>
                <w:rFonts w:hint="eastAsia" w:hAnsi="宋体"/>
                <w:sz w:val="18"/>
                <w:szCs w:val="18"/>
              </w:rPr>
              <w:t>～</w:t>
            </w:r>
            <w:r>
              <w:rPr>
                <w:rFonts w:hAnsi="宋体"/>
                <w:sz w:val="18"/>
                <w:szCs w:val="18"/>
              </w:rPr>
              <w:t>120℃</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沸石体系</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150℃</w:t>
            </w:r>
            <w:r>
              <w:rPr>
                <w:rFonts w:hint="eastAsia" w:hAnsi="宋体"/>
                <w:sz w:val="18"/>
                <w:szCs w:val="18"/>
              </w:rPr>
              <w:t>～</w:t>
            </w:r>
            <w:r>
              <w:rPr>
                <w:rFonts w:hAnsi="宋体"/>
                <w:sz w:val="18"/>
                <w:szCs w:val="18"/>
              </w:rPr>
              <w:t>250℃</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硅胶体系</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75℃</w:t>
            </w:r>
            <w:r>
              <w:rPr>
                <w:rFonts w:hint="eastAsia" w:hAnsi="宋体"/>
                <w:sz w:val="18"/>
                <w:szCs w:val="18"/>
              </w:rPr>
              <w:t>～</w:t>
            </w:r>
            <w:r>
              <w:rPr>
                <w:rFonts w:hAnsi="宋体"/>
                <w:sz w:val="18"/>
                <w:szCs w:val="18"/>
              </w:rPr>
              <w:t>120℃</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氯化钙体系</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95℃</w:t>
            </w:r>
            <w:r>
              <w:rPr>
                <w:rFonts w:hint="eastAsia" w:hAnsi="宋体"/>
                <w:sz w:val="18"/>
                <w:szCs w:val="18"/>
              </w:rPr>
              <w:t>～</w:t>
            </w:r>
            <w:r>
              <w:rPr>
                <w:rFonts w:hAnsi="宋体"/>
                <w:sz w:val="18"/>
                <w:szCs w:val="18"/>
              </w:rPr>
              <w:t>120℃</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bl>
    <w:p>
      <w:pPr>
        <w:pStyle w:val="79"/>
        <w:spacing w:before="156" w:after="156"/>
      </w:pPr>
      <w:r>
        <w:rPr>
          <w:rFonts w:hint="eastAsia"/>
        </w:rPr>
        <w:t>吸收式中温太阳能制冷机组制冷工况试验条件</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124"/>
        <w:gridCol w:w="3125"/>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3124"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吸收式制冷循环类型</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热源驱动温度</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流量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int="eastAsia" w:hAnsi="宋体"/>
                <w:sz w:val="18"/>
                <w:szCs w:val="18"/>
              </w:rPr>
              <w:t>单效</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80℃</w:t>
            </w:r>
            <w:r>
              <w:rPr>
                <w:rFonts w:hint="eastAsia" w:hAnsi="宋体"/>
                <w:sz w:val="18"/>
                <w:szCs w:val="18"/>
              </w:rPr>
              <w:t>～10</w:t>
            </w:r>
            <w:r>
              <w:rPr>
                <w:rFonts w:hAnsi="宋体"/>
                <w:sz w:val="18"/>
                <w:szCs w:val="18"/>
              </w:rPr>
              <w:t>0℃</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双效</w:t>
            </w:r>
          </w:p>
        </w:tc>
        <w:tc>
          <w:tcPr>
            <w:tcW w:w="3125" w:type="dxa"/>
            <w:shd w:val="clear" w:color="auto" w:fill="auto"/>
            <w:vAlign w:val="center"/>
          </w:tcPr>
          <w:p>
            <w:pPr>
              <w:pStyle w:val="232"/>
              <w:snapToGrid w:val="0"/>
              <w:ind w:firstLine="0" w:firstLineChars="0"/>
              <w:jc w:val="center"/>
              <w:rPr>
                <w:rFonts w:hAnsi="宋体"/>
                <w:sz w:val="18"/>
                <w:szCs w:val="18"/>
              </w:rPr>
            </w:pPr>
            <w:r>
              <w:rPr>
                <w:rFonts w:hint="eastAsia" w:hAnsi="宋体"/>
                <w:sz w:val="18"/>
                <w:szCs w:val="18"/>
              </w:rPr>
              <w:t>10</w:t>
            </w:r>
            <w:r>
              <w:rPr>
                <w:rFonts w:hAnsi="宋体"/>
                <w:sz w:val="18"/>
                <w:szCs w:val="18"/>
              </w:rPr>
              <w:t>0℃</w:t>
            </w:r>
            <w:r>
              <w:rPr>
                <w:rFonts w:hint="eastAsia" w:hAnsi="宋体"/>
                <w:sz w:val="18"/>
                <w:szCs w:val="18"/>
              </w:rPr>
              <w:t>～13</w:t>
            </w:r>
            <w:r>
              <w:rPr>
                <w:rFonts w:hAnsi="宋体"/>
                <w:sz w:val="18"/>
                <w:szCs w:val="18"/>
              </w:rPr>
              <w:t>0℃</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int="eastAsia" w:hAnsi="宋体"/>
                <w:sz w:val="18"/>
                <w:szCs w:val="18"/>
              </w:rPr>
              <w:t>三</w:t>
            </w:r>
            <w:r>
              <w:rPr>
                <w:rFonts w:hAnsi="宋体"/>
                <w:sz w:val="18"/>
                <w:szCs w:val="18"/>
              </w:rPr>
              <w:t>效</w:t>
            </w:r>
          </w:p>
        </w:tc>
        <w:tc>
          <w:tcPr>
            <w:tcW w:w="3125" w:type="dxa"/>
            <w:shd w:val="clear" w:color="auto" w:fill="auto"/>
            <w:vAlign w:val="center"/>
          </w:tcPr>
          <w:p>
            <w:pPr>
              <w:pStyle w:val="232"/>
              <w:snapToGrid w:val="0"/>
              <w:ind w:firstLine="0" w:firstLineChars="0"/>
              <w:jc w:val="center"/>
              <w:rPr>
                <w:rFonts w:hAnsi="宋体"/>
                <w:sz w:val="18"/>
                <w:szCs w:val="18"/>
              </w:rPr>
            </w:pPr>
            <w:r>
              <w:rPr>
                <w:rFonts w:hint="eastAsia" w:hAnsi="宋体"/>
                <w:sz w:val="18"/>
                <w:szCs w:val="18"/>
              </w:rPr>
              <w:t>13</w:t>
            </w:r>
            <w:r>
              <w:rPr>
                <w:rFonts w:hAnsi="宋体"/>
                <w:sz w:val="18"/>
                <w:szCs w:val="18"/>
              </w:rPr>
              <w:t>0℃</w:t>
            </w:r>
            <w:r>
              <w:rPr>
                <w:rFonts w:hint="eastAsia" w:hAnsi="宋体"/>
                <w:sz w:val="18"/>
                <w:szCs w:val="18"/>
              </w:rPr>
              <w:t>～18</w:t>
            </w:r>
            <w:r>
              <w:rPr>
                <w:rFonts w:hAnsi="宋体"/>
                <w:sz w:val="18"/>
                <w:szCs w:val="18"/>
              </w:rPr>
              <w:t>0℃</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shd w:val="clear" w:color="auto" w:fill="auto"/>
            <w:vAlign w:val="center"/>
          </w:tcPr>
          <w:p>
            <w:pPr>
              <w:pStyle w:val="232"/>
              <w:snapToGrid w:val="0"/>
              <w:ind w:firstLine="0" w:firstLineChars="0"/>
              <w:jc w:val="center"/>
              <w:rPr>
                <w:rFonts w:hAnsi="宋体"/>
                <w:sz w:val="18"/>
                <w:szCs w:val="18"/>
              </w:rPr>
            </w:pPr>
            <w:r>
              <w:rPr>
                <w:rFonts w:hint="eastAsia" w:hAnsi="宋体"/>
                <w:sz w:val="18"/>
                <w:szCs w:val="18"/>
              </w:rPr>
              <w:t>多效</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rPr>
              <w:t>≥</w:t>
            </w:r>
            <w:r>
              <w:rPr>
                <w:rFonts w:hint="eastAsia" w:hAnsi="宋体"/>
                <w:sz w:val="18"/>
                <w:szCs w:val="18"/>
              </w:rPr>
              <w:t>180</w:t>
            </w:r>
            <w:r>
              <w:rPr>
                <w:rFonts w:hAnsi="宋体"/>
                <w:sz w:val="18"/>
                <w:szCs w:val="18"/>
              </w:rPr>
              <w:t>℃</w:t>
            </w:r>
          </w:p>
        </w:tc>
        <w:tc>
          <w:tcPr>
            <w:tcW w:w="3125" w:type="dxa"/>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bl>
    <w:p>
      <w:pPr>
        <w:pStyle w:val="79"/>
        <w:spacing w:before="156" w:after="156"/>
      </w:pPr>
      <w:r>
        <w:rPr>
          <w:rFonts w:hint="eastAsia"/>
        </w:rPr>
        <w:t>除湿式中温太阳能制冷机组制冷工况试验条件</w:t>
      </w:r>
    </w:p>
    <w:tbl>
      <w:tblPr>
        <w:tblStyle w:val="28"/>
        <w:tblW w:w="937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3124"/>
        <w:gridCol w:w="3125"/>
        <w:gridCol w:w="31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3124"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除湿式太阳能制冷类型</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再生温度</w:t>
            </w:r>
          </w:p>
        </w:tc>
        <w:tc>
          <w:tcPr>
            <w:tcW w:w="3125" w:type="dxa"/>
            <w:tcBorders>
              <w:top w:val="single" w:color="auto" w:sz="8" w:space="0"/>
              <w:bottom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气体流量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3124"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太阳能转轮除湿</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55℃</w:t>
            </w:r>
            <w:r>
              <w:rPr>
                <w:rFonts w:hint="eastAsia" w:hAnsi="宋体"/>
                <w:sz w:val="18"/>
                <w:szCs w:val="18"/>
              </w:rPr>
              <w:t>～</w:t>
            </w:r>
            <w:r>
              <w:rPr>
                <w:rFonts w:hAnsi="宋体"/>
                <w:sz w:val="18"/>
                <w:szCs w:val="18"/>
              </w:rPr>
              <w:t>85℃</w:t>
            </w:r>
          </w:p>
        </w:tc>
        <w:tc>
          <w:tcPr>
            <w:tcW w:w="3125" w:type="dxa"/>
            <w:tcBorders>
              <w:top w:val="single" w:color="auto" w:sz="8" w:space="0"/>
            </w:tcBorders>
            <w:shd w:val="clear" w:color="auto" w:fill="auto"/>
            <w:vAlign w:val="center"/>
          </w:tcPr>
          <w:p>
            <w:pPr>
              <w:pStyle w:val="232"/>
              <w:snapToGrid w:val="0"/>
              <w:ind w:firstLine="0" w:firstLineChars="0"/>
              <w:jc w:val="center"/>
              <w:rPr>
                <w:rFonts w:hAnsi="宋体"/>
                <w:sz w:val="18"/>
                <w:szCs w:val="18"/>
              </w:rPr>
            </w:pPr>
            <w:r>
              <w:rPr>
                <w:rFonts w:hAnsi="宋体"/>
                <w:sz w:val="18"/>
                <w:szCs w:val="18"/>
              </w:rPr>
              <w:t>固定（额定值±5%）</w:t>
            </w:r>
          </w:p>
        </w:tc>
      </w:tr>
    </w:tbl>
    <w:p>
      <w:pPr>
        <w:pStyle w:val="80"/>
        <w:spacing w:before="156" w:after="156"/>
      </w:pPr>
      <w:bookmarkStart w:id="176" w:name="_Toc11107"/>
      <w:bookmarkStart w:id="177" w:name="_Toc178339529"/>
      <w:bookmarkStart w:id="178" w:name="_Toc31091"/>
      <w:bookmarkStart w:id="179" w:name="_Toc178345023"/>
      <w:r>
        <w:rPr>
          <w:rFonts w:hint="eastAsia"/>
        </w:rPr>
        <w:t>试验方法</w:t>
      </w:r>
      <w:bookmarkEnd w:id="176"/>
      <w:bookmarkEnd w:id="177"/>
      <w:bookmarkEnd w:id="178"/>
      <w:bookmarkEnd w:id="179"/>
    </w:p>
    <w:p>
      <w:pPr>
        <w:pStyle w:val="81"/>
        <w:spacing w:before="156" w:after="156"/>
        <w:ind w:left="0"/>
      </w:pPr>
      <w:r>
        <w:rPr>
          <w:rFonts w:hint="eastAsia"/>
        </w:rPr>
        <w:t>试验原理</w:t>
      </w:r>
    </w:p>
    <w:p>
      <w:pPr>
        <w:pStyle w:val="58"/>
        <w:ind w:firstLine="420"/>
      </w:pPr>
      <w:r>
        <w:rPr>
          <w:rFonts w:hint="eastAsia"/>
        </w:rPr>
        <w:t>通过集热系统的工质进出口温度（焓）、流量、风速等数据，计算总集热量。采用水侧热计法进行制冷量试验。通过测定机组的冷量载体进出口温度和流量，计算制冷量。测定集热量时，太阳能集热及蓄热系统出口温度应高于太阳能制冷机组热源正常工作温度范围。</w:t>
      </w:r>
    </w:p>
    <w:p>
      <w:pPr>
        <w:pStyle w:val="81"/>
        <w:spacing w:before="156" w:after="156"/>
        <w:ind w:left="0"/>
      </w:pPr>
      <w:r>
        <w:rPr>
          <w:rFonts w:hint="eastAsia"/>
        </w:rPr>
        <w:t>试验装置</w:t>
      </w:r>
    </w:p>
    <w:p>
      <w:pPr>
        <w:pStyle w:val="58"/>
        <w:ind w:firstLine="420"/>
      </w:pPr>
      <w:r>
        <w:rPr>
          <w:rFonts w:hint="eastAsia"/>
        </w:rPr>
        <w:t>采用非聚光型集热器时，需要采用总辐射表测试总辐照度（Gg）；采用非聚光型真空管型集热器/平板型集热器时，需要采用直射辐射表测试直射辐照度</w:t>
      </w:r>
      <w:r>
        <w:t>Gb</w:t>
      </w:r>
      <w:r>
        <w:rPr>
          <w:rFonts w:hint="eastAsia"/>
        </w:rPr>
        <w:t>；中温太阳能空调系统试验装置图如图D.1所示。</w:t>
      </w:r>
    </w:p>
    <w:p>
      <w:pPr>
        <w:pStyle w:val="176"/>
        <w:numPr>
          <w:ilvl w:val="0"/>
          <w:numId w:val="42"/>
        </w:numPr>
      </w:pPr>
      <w:r>
        <w:rPr>
          <w:rFonts w:hint="eastAsia"/>
        </w:rPr>
        <w:t>试验装置能连续获得稳定的流量、流体温度、风速和相对湿度；</w:t>
      </w:r>
    </w:p>
    <w:p>
      <w:pPr>
        <w:pStyle w:val="176"/>
        <w:numPr>
          <w:ilvl w:val="0"/>
          <w:numId w:val="35"/>
        </w:numPr>
      </w:pPr>
      <w:r>
        <w:rPr>
          <w:rFonts w:hint="eastAsia"/>
        </w:rPr>
        <w:t>试验设备应满足D.1的规定。</w:t>
      </w:r>
    </w:p>
    <w:p>
      <w:pPr>
        <w:pStyle w:val="58"/>
        <w:ind w:firstLine="420"/>
        <w:jc w:val="center"/>
      </w:pPr>
      <w:r>
        <w:rPr>
          <w:rFonts w:ascii="Times New Roman"/>
        </w:rPr>
        <w:drawing>
          <wp:inline distT="0" distB="0" distL="114300" distR="114300">
            <wp:extent cx="4800600" cy="2286000"/>
            <wp:effectExtent l="0" t="0" r="0" b="0"/>
            <wp:docPr id="4" name="图片 1" descr="wp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wps13"/>
                    <pic:cNvPicPr>
                      <a:picLocks noChangeAspect="1"/>
                    </pic:cNvPicPr>
                  </pic:nvPicPr>
                  <pic:blipFill>
                    <a:blip r:embed="rId54" cstate="print"/>
                    <a:stretch>
                      <a:fillRect/>
                    </a:stretch>
                  </pic:blipFill>
                  <pic:spPr>
                    <a:xfrm>
                      <a:off x="0" y="0"/>
                      <a:ext cx="4800600" cy="2286000"/>
                    </a:xfrm>
                    <a:prstGeom prst="rect">
                      <a:avLst/>
                    </a:prstGeom>
                    <a:noFill/>
                    <a:ln>
                      <a:noFill/>
                    </a:ln>
                  </pic:spPr>
                </pic:pic>
              </a:graphicData>
            </a:graphic>
          </wp:inline>
        </w:drawing>
      </w:r>
    </w:p>
    <w:p>
      <w:pPr>
        <w:pStyle w:val="85"/>
        <w:numPr>
          <w:ilvl w:val="0"/>
          <w:numId w:val="0"/>
        </w:numPr>
        <w:spacing w:before="156" w:after="156"/>
      </w:pPr>
      <w:r>
        <w:rPr>
          <w:rFonts w:hint="eastAsia"/>
        </w:rPr>
        <w:t>图D.1 中温太阳能空调系统的试验装置图</w:t>
      </w:r>
    </w:p>
    <w:p>
      <w:pPr>
        <w:pStyle w:val="81"/>
        <w:spacing w:before="156" w:after="156"/>
        <w:ind w:left="0"/>
      </w:pPr>
      <w:r>
        <w:rPr>
          <w:rFonts w:hint="eastAsia"/>
        </w:rPr>
        <w:t>试验准备</w:t>
      </w:r>
    </w:p>
    <w:p>
      <w:pPr>
        <w:pStyle w:val="58"/>
        <w:ind w:firstLine="420"/>
      </w:pPr>
      <w:r>
        <w:rPr>
          <w:rFonts w:hint="eastAsia"/>
        </w:rPr>
        <w:t>在试验前，需要进行如下准备工作：</w:t>
      </w:r>
    </w:p>
    <w:p>
      <w:pPr>
        <w:pStyle w:val="176"/>
        <w:numPr>
          <w:ilvl w:val="0"/>
          <w:numId w:val="43"/>
        </w:numPr>
      </w:pPr>
      <w:r>
        <w:rPr>
          <w:rFonts w:hint="eastAsia"/>
        </w:rPr>
        <w:t>待测集热系统、蓄热系统、制冷机组已安装运转必需的附属装置；</w:t>
      </w:r>
    </w:p>
    <w:p>
      <w:pPr>
        <w:pStyle w:val="176"/>
        <w:numPr>
          <w:ilvl w:val="0"/>
          <w:numId w:val="35"/>
        </w:numPr>
      </w:pPr>
      <w:r>
        <w:rPr>
          <w:rFonts w:hint="eastAsia"/>
        </w:rPr>
        <w:t>排尽系统内的空气，并确认已灌满工质；</w:t>
      </w:r>
    </w:p>
    <w:p>
      <w:pPr>
        <w:pStyle w:val="176"/>
        <w:numPr>
          <w:ilvl w:val="0"/>
          <w:numId w:val="35"/>
        </w:numPr>
      </w:pPr>
      <w:r>
        <w:rPr>
          <w:rFonts w:hint="eastAsia"/>
        </w:rPr>
        <w:t>待测集热系统、蓄热系统、制冷机组填装规定量的工质、添加剂；</w:t>
      </w:r>
    </w:p>
    <w:p>
      <w:pPr>
        <w:pStyle w:val="176"/>
        <w:numPr>
          <w:ilvl w:val="0"/>
          <w:numId w:val="35"/>
        </w:numPr>
      </w:pPr>
      <w:r>
        <w:rPr>
          <w:rFonts w:hint="eastAsia"/>
        </w:rPr>
        <w:t>真空系统抽气达到运行真空度要求；</w:t>
      </w:r>
    </w:p>
    <w:p>
      <w:pPr>
        <w:pStyle w:val="176"/>
        <w:numPr>
          <w:ilvl w:val="0"/>
          <w:numId w:val="35"/>
        </w:numPr>
      </w:pPr>
      <w:r>
        <w:rPr>
          <w:rFonts w:hint="eastAsia"/>
        </w:rPr>
        <w:t>中温太阳能空调系统在平均负荷率不低于设计值50%条件下至少稳定运行1小时后再进行测试。</w:t>
      </w:r>
    </w:p>
    <w:p>
      <w:pPr>
        <w:pStyle w:val="81"/>
        <w:spacing w:before="156" w:after="156"/>
        <w:ind w:left="0"/>
      </w:pPr>
      <w:r>
        <w:rPr>
          <w:rFonts w:hint="eastAsia"/>
        </w:rPr>
        <w:t>试验步骤</w:t>
      </w:r>
    </w:p>
    <w:p>
      <w:pPr>
        <w:pStyle w:val="58"/>
        <w:ind w:firstLine="840" w:firstLineChars="400"/>
      </w:pPr>
      <w:r>
        <w:rPr>
          <w:rFonts w:hint="eastAsia"/>
        </w:rPr>
        <w:t>按照以下步骤进行性能测试：</w:t>
      </w:r>
    </w:p>
    <w:p>
      <w:pPr>
        <w:pStyle w:val="176"/>
        <w:numPr>
          <w:ilvl w:val="0"/>
          <w:numId w:val="44"/>
        </w:numPr>
      </w:pPr>
      <w:r>
        <w:rPr>
          <w:rFonts w:hint="eastAsia"/>
        </w:rPr>
        <w:t>中温太阳能空调系统从上午8时开始测试。测试前，首先开启中温太阳能空调系统，使系统至少稳定运行1h，当系统热源出口温度达到或高于中温太阳能空调系统热源正常工作温度范围，并稳定在试验条件的状态后开始测试；</w:t>
      </w:r>
    </w:p>
    <w:p>
      <w:pPr>
        <w:pStyle w:val="176"/>
        <w:numPr>
          <w:ilvl w:val="0"/>
          <w:numId w:val="35"/>
        </w:numPr>
      </w:pPr>
      <w:r>
        <w:rPr>
          <w:rFonts w:hint="eastAsia"/>
        </w:rPr>
        <w:t>太阳能集热量测试自每日测试的时间从上午8时开始至达到所需要的太阳辐照量为止，当达到所需辐照量后，将集热器用隔离罩罩住，继续保持设备稳定运行至次日上午8时，完成一组太阳辐照区间的测试；</w:t>
      </w:r>
    </w:p>
    <w:p>
      <w:pPr>
        <w:pStyle w:val="176"/>
        <w:numPr>
          <w:ilvl w:val="0"/>
          <w:numId w:val="35"/>
        </w:numPr>
      </w:pPr>
      <w:r>
        <w:rPr>
          <w:rFonts w:hint="eastAsia"/>
        </w:rPr>
        <w:t>测试过程应保证中温太阳能空调系统不间断连续运行；</w:t>
      </w:r>
    </w:p>
    <w:p>
      <w:pPr>
        <w:pStyle w:val="176"/>
        <w:numPr>
          <w:ilvl w:val="0"/>
          <w:numId w:val="35"/>
        </w:numPr>
      </w:pPr>
      <w:r>
        <w:rPr>
          <w:rFonts w:hint="eastAsia"/>
        </w:rPr>
        <w:t>试验时试验条件应满足B.2的规定；</w:t>
      </w:r>
    </w:p>
    <w:p>
      <w:pPr>
        <w:pStyle w:val="176"/>
        <w:numPr>
          <w:ilvl w:val="0"/>
          <w:numId w:val="35"/>
        </w:numPr>
      </w:pPr>
      <w:r>
        <w:rPr>
          <w:rFonts w:hint="eastAsia"/>
        </w:rPr>
        <w:t>同次各数据测试同时进行，以减少试验条件波动的影响；</w:t>
      </w:r>
    </w:p>
    <w:p>
      <w:pPr>
        <w:pStyle w:val="176"/>
        <w:numPr>
          <w:ilvl w:val="0"/>
          <w:numId w:val="35"/>
        </w:numPr>
      </w:pPr>
      <w:r>
        <w:rPr>
          <w:rFonts w:hint="eastAsia"/>
        </w:rPr>
        <w:t>每次测试的数据应用热平衡法校核，其偏差应在±5%以内。</w:t>
      </w:r>
    </w:p>
    <w:p>
      <w:pPr>
        <w:pStyle w:val="81"/>
        <w:spacing w:before="156" w:after="156"/>
        <w:ind w:left="0"/>
      </w:pPr>
      <w:r>
        <w:rPr>
          <w:rFonts w:hint="eastAsia"/>
        </w:rPr>
        <w:t>太阳能集热器集热能力的计算方法</w:t>
      </w:r>
    </w:p>
    <w:p>
      <w:pPr>
        <w:pStyle w:val="58"/>
        <w:ind w:firstLine="420"/>
      </w:pPr>
      <w:r>
        <w:rPr>
          <w:rFonts w:hint="eastAsia"/>
        </w:rPr>
        <w:t>使用蒸汽作为驱动热源时，按公式（D.1）计算：</w:t>
      </w:r>
    </w:p>
    <w:p>
      <w:pPr>
        <w:pStyle w:val="115"/>
      </w:pPr>
      <w:r>
        <w:tab/>
      </w:r>
      <w:r>
        <w:rPr>
          <w:position w:val="-28"/>
        </w:rPr>
        <w:object>
          <v:shape id="_x0000_i1030" o:spt="75" type="#_x0000_t75" style="height:34.5pt;width:120.4pt;" o:ole="t" filled="f" o:preferrelative="t" stroked="f" coordsize="21600,21600">
            <v:path/>
            <v:fill on="f" focussize="0,0"/>
            <v:stroke on="f" joinstyle="miter"/>
            <v:imagedata r:id="rId56" o:title=""/>
            <o:lock v:ext="edit" aspectratio="t"/>
            <w10:wrap type="none"/>
            <w10:anchorlock/>
          </v:shape>
          <o:OLEObject Type="Embed" ProgID="Equation.DSMT4" ShapeID="_x0000_i1030" DrawAspect="Content" ObjectID="_1468075730" r:id="rId55">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1</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太阳能集热器集热量，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fldChar w:fldCharType="begin"/>
      </w:r>
      <w:r>
        <w:rPr>
          <w:rFonts w:ascii="宋体" w:hAnsi="宋体"/>
          <w:i/>
          <w:iCs/>
          <w:kern w:val="0"/>
          <w:szCs w:val="20"/>
        </w:rPr>
        <w:instrText xml:space="preserve">EQ \* jc2 \* hps10 \o\ad(\s\up 9(</w:instrText>
      </w:r>
      <w:r>
        <w:rPr>
          <w:rFonts w:ascii="宋体" w:hAnsi="宋体"/>
          <w:i/>
          <w:iCs/>
          <w:kern w:val="0"/>
          <w:sz w:val="10"/>
          <w:szCs w:val="20"/>
        </w:rPr>
        <w:instrText xml:space="preserve">　．</w:instrText>
      </w:r>
      <w:r>
        <w:rPr>
          <w:rFonts w:ascii="宋体" w:hAnsi="宋体"/>
          <w:i/>
          <w:iCs/>
          <w:kern w:val="0"/>
          <w:szCs w:val="20"/>
        </w:rPr>
        <w:instrText xml:space="preserve">),m)</w:instrText>
      </w:r>
      <w:r>
        <w:rPr>
          <w:rFonts w:ascii="宋体" w:hAnsi="宋体"/>
          <w:i/>
          <w:iCs/>
          <w:kern w:val="0"/>
          <w:szCs w:val="20"/>
        </w:rPr>
        <w:fldChar w:fldCharType="end"/>
      </w:r>
      <w:r>
        <w:rPr>
          <w:rFonts w:ascii="宋体" w:hAnsi="宋体"/>
          <w:iCs/>
          <w:kern w:val="0"/>
          <w:szCs w:val="20"/>
          <w:vertAlign w:val="subscript"/>
        </w:rPr>
        <w:t>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第i次记录的蒸汽</w:t>
      </w:r>
      <w:r>
        <w:rPr>
          <w:rFonts w:hint="eastAsia" w:ascii="宋体" w:hAnsi="宋体"/>
          <w:kern w:val="0"/>
          <w:szCs w:val="20"/>
        </w:rPr>
        <w:t>质量</w:t>
      </w:r>
      <w:r>
        <w:rPr>
          <w:rFonts w:ascii="宋体" w:hAnsi="宋体"/>
          <w:kern w:val="0"/>
          <w:szCs w:val="20"/>
        </w:rPr>
        <w:t>流量，</w:t>
      </w:r>
      <w:r>
        <w:rPr>
          <w:rFonts w:hint="eastAsia" w:ascii="宋体" w:hAnsi="宋体"/>
          <w:kern w:val="0"/>
          <w:szCs w:val="20"/>
        </w:rPr>
        <w:t>单位为千克每秒（</w:t>
      </w:r>
      <w:r>
        <w:rPr>
          <w:rFonts w:ascii="宋体" w:hAnsi="宋体"/>
          <w:kern w:val="0"/>
          <w:szCs w:val="20"/>
        </w:rPr>
        <w:t>kg/s</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h</w:t>
      </w:r>
      <w:r>
        <w:rPr>
          <w:rFonts w:ascii="宋体" w:hAnsi="宋体"/>
          <w:iCs/>
          <w:kern w:val="0"/>
          <w:szCs w:val="20"/>
          <w:vertAlign w:val="subscript"/>
        </w:rPr>
        <w:t>dj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第i次记录的蒸汽比焓，</w:t>
      </w:r>
      <w:r>
        <w:rPr>
          <w:rFonts w:hint="eastAsia" w:ascii="宋体" w:hAnsi="宋体"/>
          <w:kern w:val="0"/>
          <w:szCs w:val="20"/>
        </w:rPr>
        <w:t>单位为千焦每千克（</w:t>
      </w:r>
      <w:r>
        <w:rPr>
          <w:rFonts w:ascii="宋体" w:hAnsi="宋体"/>
          <w:kern w:val="0"/>
          <w:szCs w:val="20"/>
        </w:rPr>
        <w:t>kJ/kg</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jc w:val="left"/>
        <w:rPr>
          <w:rFonts w:ascii="宋体" w:hAnsi="宋体"/>
          <w:kern w:val="0"/>
          <w:szCs w:val="20"/>
        </w:rPr>
      </w:pPr>
      <w:r>
        <w:rPr>
          <w:rFonts w:ascii="宋体" w:hAnsi="宋体"/>
          <w:i/>
          <w:iCs/>
          <w:kern w:val="0"/>
          <w:szCs w:val="20"/>
        </w:rPr>
        <w:t>h</w:t>
      </w:r>
      <w:r>
        <w:rPr>
          <w:rFonts w:ascii="宋体" w:hAnsi="宋体"/>
          <w:iCs/>
          <w:kern w:val="0"/>
          <w:szCs w:val="20"/>
          <w:vertAlign w:val="subscript"/>
        </w:rPr>
        <w:t>bj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第i次记录的凝结水比焓，</w:t>
      </w:r>
      <w:r>
        <w:rPr>
          <w:rFonts w:hint="eastAsia" w:ascii="宋体" w:hAnsi="宋体"/>
          <w:kern w:val="0"/>
          <w:szCs w:val="20"/>
        </w:rPr>
        <w:t>单位为千焦每千克（</w:t>
      </w:r>
      <w:r>
        <w:rPr>
          <w:rFonts w:ascii="宋体" w:hAnsi="宋体"/>
          <w:kern w:val="0"/>
          <w:szCs w:val="20"/>
        </w:rPr>
        <w:t>kJ/kg</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155" w:leftChars="150" w:hanging="840" w:hangingChars="400"/>
        <w:jc w:val="left"/>
        <w:rPr>
          <w:rFonts w:ascii="宋体" w:hAnsi="宋体"/>
          <w:iCs/>
          <w:kern w:val="0"/>
          <w:szCs w:val="20"/>
        </w:rPr>
      </w:pPr>
      <w:r>
        <w:rPr>
          <w:rFonts w:ascii="宋体" w:hAnsi="宋体"/>
          <w:i/>
          <w:iCs/>
          <w:kern w:val="0"/>
          <w:szCs w:val="20"/>
        </w:rPr>
        <w:t>Δ</w:t>
      </w:r>
      <w:r>
        <w:rPr>
          <w:rFonts w:hint="eastAsia" w:ascii="宋体" w:hAnsi="宋体"/>
          <w:i/>
          <w:iCs/>
          <w:kern w:val="0"/>
          <w:szCs w:val="20"/>
        </w:rPr>
        <w:t>t</w:t>
      </w:r>
      <w:r>
        <w:rPr>
          <w:rFonts w:ascii="宋体" w:hAnsi="宋体"/>
          <w:iCs/>
          <w:kern w:val="0"/>
          <w:szCs w:val="20"/>
          <w:vertAlign w:val="subscript"/>
        </w:rPr>
        <w:t>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第i次记录的时间间隔（每日测试的时间从上午8时开始至达到所需要的太阳辐照量为止，</w:t>
      </w:r>
      <w:r>
        <w:rPr>
          <w:rFonts w:ascii="宋体" w:hAnsi="宋体"/>
          <w:iCs/>
          <w:kern w:val="0"/>
          <w:szCs w:val="20"/>
        </w:rPr>
        <w:t>ΔT</w:t>
      </w:r>
      <w:r>
        <w:rPr>
          <w:rFonts w:ascii="宋体" w:hAnsi="宋体"/>
          <w:iCs/>
          <w:kern w:val="0"/>
          <w:szCs w:val="20"/>
          <w:vertAlign w:val="subscript"/>
        </w:rPr>
        <w:t>ji</w:t>
      </w:r>
      <w:r>
        <w:rPr>
          <w:rFonts w:ascii="宋体" w:hAnsi="宋体"/>
          <w:kern w:val="0"/>
          <w:szCs w:val="20"/>
        </w:rPr>
        <w:t>不应大于600s），</w:t>
      </w:r>
      <w:r>
        <w:rPr>
          <w:rFonts w:hint="eastAsia" w:ascii="宋体" w:hAnsi="宋体"/>
          <w:kern w:val="0"/>
          <w:szCs w:val="20"/>
        </w:rPr>
        <w:t>单位为秒（</w:t>
      </w:r>
      <w:r>
        <w:rPr>
          <w:rFonts w:ascii="宋体" w:hAnsi="宋体"/>
          <w:kern w:val="0"/>
          <w:szCs w:val="20"/>
        </w:rPr>
        <w:t>s</w:t>
      </w:r>
      <w:r>
        <w:rPr>
          <w:rFonts w:hint="eastAsia" w:ascii="宋体" w:hAnsi="宋体"/>
          <w:kern w:val="0"/>
          <w:szCs w:val="20"/>
        </w:rPr>
        <w:t>）。</w:t>
      </w:r>
    </w:p>
    <w:p>
      <w:pPr>
        <w:pStyle w:val="58"/>
        <w:ind w:firstLine="420"/>
      </w:pPr>
      <w:r>
        <w:rPr>
          <w:rFonts w:hint="eastAsia"/>
        </w:rPr>
        <w:t>使用热水/导热油作为驱动热源时，按公式（D.2）计算：</w:t>
      </w:r>
    </w:p>
    <w:p>
      <w:pPr>
        <w:pStyle w:val="115"/>
      </w:pPr>
      <w:r>
        <w:tab/>
      </w:r>
      <w:r>
        <w:rPr>
          <w:position w:val="-28"/>
        </w:rPr>
        <w:object>
          <v:shape id="_x0000_i1031" o:spt="75" type="#_x0000_t75" style="height:34.5pt;width:135.75pt;" o:ole="t" filled="f" o:preferrelative="t" stroked="f" coordsize="21600,21600">
            <v:path/>
            <v:fill on="f" focussize="0,0"/>
            <v:stroke on="f" joinstyle="miter"/>
            <v:imagedata r:id="rId58" o:title=""/>
            <o:lock v:ext="edit" aspectratio="t"/>
            <w10:wrap type="none"/>
            <w10:anchorlock/>
          </v:shape>
          <o:OLEObject Type="Embed" ProgID="Equation.DSMT4" ShapeID="_x0000_i1031" DrawAspect="Content" ObjectID="_1468075731" r:id="rId57">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2</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
          <w:iCs/>
          <w:kern w:val="0"/>
          <w:szCs w:val="20"/>
          <w:vertAlign w:val="subscript"/>
        </w:rPr>
        <w:t>j</w:t>
      </w:r>
      <w:r>
        <w:rPr>
          <w:rFonts w:hint="eastAsia" w:ascii="宋体" w:hAnsi="宋体"/>
          <w:i/>
          <w:kern w:val="0"/>
          <w:szCs w:val="20"/>
        </w:rPr>
        <w:t>—</w:t>
      </w:r>
      <w:r>
        <w:rPr>
          <w:rFonts w:ascii="宋体" w:hAnsi="宋体"/>
          <w:kern w:val="0"/>
          <w:szCs w:val="20"/>
        </w:rPr>
        <w:t>太阳能集热器集热量，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hint="eastAsia" w:ascii="宋体" w:hAnsi="宋体"/>
          <w:i/>
          <w:iCs/>
          <w:kern w:val="0"/>
          <w:szCs w:val="20"/>
        </w:rPr>
        <w:t>V</w:t>
      </w:r>
      <w:r>
        <w:rPr>
          <w:rFonts w:ascii="宋体" w:hAnsi="宋体"/>
          <w:i/>
          <w:iCs/>
          <w:kern w:val="0"/>
          <w:szCs w:val="20"/>
          <w:vertAlign w:val="superscript"/>
        </w:rPr>
        <w:t>,</w:t>
      </w:r>
      <w:r>
        <w:rPr>
          <w:rFonts w:ascii="宋体" w:hAnsi="宋体"/>
          <w:iCs/>
          <w:kern w:val="0"/>
          <w:szCs w:val="20"/>
          <w:vertAlign w:val="subscript"/>
        </w:rPr>
        <w:t>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第i次记录的热水/导热油</w:t>
      </w:r>
      <w:r>
        <w:rPr>
          <w:rFonts w:hint="eastAsia" w:ascii="宋体" w:hAnsi="宋体"/>
          <w:kern w:val="0"/>
          <w:szCs w:val="20"/>
        </w:rPr>
        <w:t>体积</w:t>
      </w:r>
      <w:r>
        <w:rPr>
          <w:rFonts w:ascii="宋体" w:hAnsi="宋体"/>
          <w:kern w:val="0"/>
          <w:szCs w:val="20"/>
        </w:rPr>
        <w:t>流量，</w:t>
      </w:r>
      <w:r>
        <w:rPr>
          <w:rFonts w:hint="eastAsia" w:ascii="宋体" w:hAnsi="宋体"/>
          <w:kern w:val="0"/>
          <w:szCs w:val="20"/>
        </w:rPr>
        <w:t>单位为立方米每秒（</w:t>
      </w:r>
      <w:r>
        <w:rPr>
          <w:rFonts w:ascii="宋体" w:hAnsi="宋体"/>
          <w:kern w:val="0"/>
          <w:szCs w:val="20"/>
        </w:rPr>
        <w:t>m</w:t>
      </w:r>
      <w:r>
        <w:rPr>
          <w:rFonts w:ascii="宋体" w:hAnsi="宋体"/>
          <w:kern w:val="0"/>
          <w:szCs w:val="20"/>
          <w:vertAlign w:val="superscript"/>
        </w:rPr>
        <w:t>3</w:t>
      </w:r>
      <w:r>
        <w:rPr>
          <w:rFonts w:ascii="宋体" w:hAnsi="宋体"/>
          <w:kern w:val="0"/>
          <w:szCs w:val="20"/>
        </w:rPr>
        <w:t>/s</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c</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热水/导热油平均比热，</w:t>
      </w:r>
      <w:r>
        <w:rPr>
          <w:rFonts w:hint="eastAsia" w:ascii="宋体" w:hAnsi="宋体"/>
          <w:kern w:val="0"/>
          <w:szCs w:val="20"/>
        </w:rPr>
        <w:t>单位为千焦每千克每摄氏度（</w:t>
      </w:r>
      <w:r>
        <w:rPr>
          <w:rFonts w:ascii="宋体" w:hAnsi="宋体"/>
          <w:kern w:val="0"/>
          <w:szCs w:val="20"/>
        </w:rPr>
        <w:t>kJ/（kg·ºC）</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ρ</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热水/导热油平均密度，</w:t>
      </w:r>
      <w:r>
        <w:rPr>
          <w:rFonts w:hint="eastAsia" w:ascii="宋体" w:hAnsi="宋体"/>
          <w:kern w:val="0"/>
          <w:szCs w:val="20"/>
        </w:rPr>
        <w:t>单位为千克每立方米（</w:t>
      </w:r>
      <w:r>
        <w:rPr>
          <w:rFonts w:ascii="宋体" w:hAnsi="宋体"/>
          <w:kern w:val="0"/>
          <w:szCs w:val="20"/>
        </w:rPr>
        <w:t>kg/m</w:t>
      </w:r>
      <w:r>
        <w:rPr>
          <w:rFonts w:ascii="宋体" w:hAnsi="宋体"/>
          <w:kern w:val="0"/>
          <w:szCs w:val="20"/>
          <w:vertAlign w:val="superscript"/>
        </w:rPr>
        <w:t>3</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Cs/>
          <w:kern w:val="0"/>
          <w:szCs w:val="20"/>
        </w:rPr>
        <w:t>T</w:t>
      </w:r>
      <w:r>
        <w:rPr>
          <w:rFonts w:ascii="宋体" w:hAnsi="宋体"/>
          <w:iCs/>
          <w:kern w:val="0"/>
          <w:szCs w:val="20"/>
          <w:vertAlign w:val="superscript"/>
        </w:rPr>
        <w:t>,</w:t>
      </w:r>
      <w:r>
        <w:rPr>
          <w:rFonts w:ascii="宋体" w:hAnsi="宋体"/>
          <w:iCs/>
          <w:kern w:val="0"/>
          <w:szCs w:val="20"/>
          <w:vertAlign w:val="subscript"/>
        </w:rPr>
        <w:t>dj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第i次记录的热水/导热油进口温度，</w:t>
      </w:r>
      <w:r>
        <w:rPr>
          <w:rFonts w:hint="eastAsia" w:ascii="宋体" w:hAnsi="宋体"/>
          <w:kern w:val="0"/>
          <w:szCs w:val="20"/>
        </w:rPr>
        <w:t>单位为摄氏度（</w:t>
      </w:r>
      <w:r>
        <w:rPr>
          <w:rFonts w:ascii="宋体" w:hAnsi="宋体"/>
          <w:kern w:val="0"/>
          <w:szCs w:val="20"/>
        </w:rPr>
        <w:t>ºC</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T</w:t>
      </w:r>
      <w:r>
        <w:rPr>
          <w:rFonts w:ascii="宋体" w:hAnsi="宋体"/>
          <w:i/>
          <w:iCs/>
          <w:kern w:val="0"/>
          <w:szCs w:val="20"/>
          <w:vertAlign w:val="superscript"/>
        </w:rPr>
        <w:t>,</w:t>
      </w:r>
      <w:r>
        <w:rPr>
          <w:rFonts w:ascii="宋体" w:hAnsi="宋体"/>
          <w:iCs/>
          <w:kern w:val="0"/>
          <w:szCs w:val="20"/>
          <w:vertAlign w:val="subscript"/>
        </w:rPr>
        <w:t>bj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第i次记录的热水/导热油出口温度，</w:t>
      </w:r>
      <w:r>
        <w:rPr>
          <w:rFonts w:hint="eastAsia" w:ascii="宋体" w:hAnsi="宋体"/>
          <w:kern w:val="0"/>
          <w:szCs w:val="20"/>
        </w:rPr>
        <w:t>单位为摄氏度（</w:t>
      </w:r>
      <w:r>
        <w:rPr>
          <w:rFonts w:ascii="宋体" w:hAnsi="宋体"/>
          <w:kern w:val="0"/>
          <w:szCs w:val="20"/>
        </w:rPr>
        <w:t>ºC</w:t>
      </w:r>
      <w:r>
        <w:rPr>
          <w:rFonts w:hint="eastAsia" w:ascii="宋体" w:hAnsi="宋体"/>
          <w:kern w:val="0"/>
          <w:szCs w:val="20"/>
        </w:rPr>
        <w:t>）；</w:t>
      </w:r>
    </w:p>
    <w:p>
      <w:pPr>
        <w:widowControl/>
        <w:tabs>
          <w:tab w:val="center" w:pos="4201"/>
          <w:tab w:val="right" w:leader="dot" w:pos="9298"/>
        </w:tabs>
        <w:autoSpaceDE w:val="0"/>
        <w:autoSpaceDN w:val="0"/>
        <w:adjustRightInd/>
        <w:snapToGrid w:val="0"/>
        <w:spacing w:line="240" w:lineRule="auto"/>
        <w:ind w:left="1155" w:leftChars="150" w:hanging="840" w:hangingChars="400"/>
        <w:jc w:val="left"/>
        <w:rPr>
          <w:rFonts w:ascii="宋体" w:hAnsi="宋体"/>
          <w:iCs/>
          <w:kern w:val="0"/>
          <w:szCs w:val="20"/>
        </w:rPr>
      </w:pPr>
      <w:r>
        <w:rPr>
          <w:rFonts w:ascii="宋体" w:hAnsi="宋体"/>
          <w:i/>
          <w:iCs/>
          <w:kern w:val="0"/>
          <w:szCs w:val="20"/>
        </w:rPr>
        <w:t>Δ</w:t>
      </w:r>
      <w:r>
        <w:rPr>
          <w:rFonts w:hint="eastAsia" w:ascii="宋体" w:hAnsi="宋体"/>
          <w:i/>
          <w:iCs/>
          <w:kern w:val="0"/>
          <w:szCs w:val="20"/>
        </w:rPr>
        <w:t>t</w:t>
      </w:r>
      <w:r>
        <w:rPr>
          <w:rFonts w:ascii="宋体" w:hAnsi="宋体"/>
          <w:iCs/>
          <w:kern w:val="0"/>
          <w:szCs w:val="20"/>
          <w:vertAlign w:val="subscript"/>
        </w:rPr>
        <w:t>j</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第i次记录的时间间隔（每日测试的时间从上午8时开始至达到所需要的太阳辐照量为止，</w:t>
      </w:r>
      <w:r>
        <w:rPr>
          <w:rFonts w:ascii="宋体" w:hAnsi="宋体"/>
          <w:iCs/>
          <w:kern w:val="0"/>
          <w:szCs w:val="20"/>
        </w:rPr>
        <w:t>ΔT</w:t>
      </w:r>
      <w:r>
        <w:rPr>
          <w:rFonts w:ascii="宋体" w:hAnsi="宋体"/>
          <w:iCs/>
          <w:kern w:val="0"/>
          <w:szCs w:val="20"/>
          <w:vertAlign w:val="subscript"/>
        </w:rPr>
        <w:t>ji</w:t>
      </w:r>
      <w:r>
        <w:rPr>
          <w:rFonts w:ascii="宋体" w:hAnsi="宋体"/>
          <w:kern w:val="0"/>
          <w:szCs w:val="20"/>
        </w:rPr>
        <w:t>应不大于600s），</w:t>
      </w:r>
      <w:r>
        <w:rPr>
          <w:rFonts w:hint="eastAsia" w:ascii="宋体" w:hAnsi="宋体"/>
          <w:kern w:val="0"/>
          <w:szCs w:val="20"/>
        </w:rPr>
        <w:t>单位为秒（</w:t>
      </w:r>
      <w:r>
        <w:rPr>
          <w:rFonts w:ascii="宋体" w:hAnsi="宋体"/>
          <w:kern w:val="0"/>
          <w:szCs w:val="20"/>
        </w:rPr>
        <w:t>s</w:t>
      </w:r>
      <w:r>
        <w:rPr>
          <w:rFonts w:hint="eastAsia" w:ascii="宋体" w:hAnsi="宋体"/>
          <w:kern w:val="0"/>
          <w:szCs w:val="20"/>
        </w:rPr>
        <w:t>）。</w:t>
      </w:r>
    </w:p>
    <w:p>
      <w:pPr>
        <w:pStyle w:val="81"/>
        <w:spacing w:before="156" w:after="156"/>
        <w:ind w:left="0"/>
      </w:pPr>
      <w:r>
        <w:rPr>
          <w:rFonts w:hint="eastAsia"/>
        </w:rPr>
        <w:t>太阳能集热系统制热效率的计算方法</w:t>
      </w:r>
    </w:p>
    <w:p>
      <w:pPr>
        <w:pStyle w:val="58"/>
        <w:ind w:firstLine="420"/>
      </w:pPr>
      <w:r>
        <w:rPr>
          <w:rFonts w:hint="eastAsia"/>
        </w:rPr>
        <w:t>采用非聚光型真空管型集热器/平板型集热器时，按公式（D.3）计算：</w:t>
      </w:r>
    </w:p>
    <w:p>
      <w:pPr>
        <w:pStyle w:val="115"/>
      </w:pPr>
      <w:r>
        <w:tab/>
      </w:r>
      <w:r>
        <w:rPr>
          <w:position w:val="-60"/>
        </w:rPr>
        <w:object>
          <v:shape id="_x0000_i1032" o:spt="75" type="#_x0000_t75" style="height:51pt;width:78pt;" o:ole="t" filled="f" o:preferrelative="t" stroked="f" coordsize="21600,21600">
            <v:path/>
            <v:fill on="f" focussize="0,0"/>
            <v:stroke on="f" joinstyle="miter"/>
            <v:imagedata r:id="rId60" o:title=""/>
            <o:lock v:ext="edit" aspectratio="t"/>
            <w10:wrap type="none"/>
            <w10:anchorlock/>
          </v:shape>
          <o:OLEObject Type="Embed" ProgID="Equation.DSMT4" ShapeID="_x0000_i1032" DrawAspect="Content" ObjectID="_1468075732" r:id="rId59">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3</w:t>
      </w:r>
      <w:r>
        <w:fldChar w:fldCharType="end"/>
      </w:r>
      <w:r>
        <w:t>)</w:t>
      </w:r>
    </w:p>
    <w:p>
      <w:pPr>
        <w:pStyle w:val="58"/>
        <w:ind w:firstLine="420"/>
      </w:pPr>
      <w:r>
        <w:rPr>
          <w:rFonts w:hint="eastAsia"/>
        </w:rPr>
        <w:t>采用聚光型真空管型集热器时，按公式（D.4）计算：</w:t>
      </w:r>
    </w:p>
    <w:p>
      <w:pPr>
        <w:pStyle w:val="115"/>
      </w:pPr>
      <w:r>
        <w:tab/>
      </w:r>
      <w:r>
        <w:rPr>
          <w:position w:val="-60"/>
        </w:rPr>
        <w:object>
          <v:shape id="_x0000_i1033" o:spt="75" type="#_x0000_t75" style="height:51pt;width:165pt;" o:ole="t" filled="f" o:preferrelative="t" stroked="f" coordsize="21600,21600">
            <v:path/>
            <v:fill on="f" focussize="0,0"/>
            <v:stroke on="f" joinstyle="miter"/>
            <v:imagedata r:id="rId62" o:title=""/>
            <o:lock v:ext="edit" aspectratio="t"/>
            <w10:wrap type="none"/>
            <w10:anchorlock/>
          </v:shape>
          <o:OLEObject Type="Embed" ProgID="Equation.DSMT4" ShapeID="_x0000_i1033" DrawAspect="Content" ObjectID="_1468075733" r:id="rId61">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4</w:t>
      </w:r>
      <w:r>
        <w:fldChar w:fldCharType="end"/>
      </w:r>
      <w:r>
        <w:t>)</w:t>
      </w:r>
    </w:p>
    <w:p>
      <w:pPr>
        <w:pStyle w:val="58"/>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η</w:t>
      </w:r>
      <w:r>
        <w:rPr>
          <w:rFonts w:ascii="宋体" w:hAnsi="宋体"/>
          <w:iCs/>
          <w:kern w:val="0"/>
          <w:vertAlign w:val="subscript"/>
        </w:rPr>
        <w:t>j</w:t>
      </w:r>
      <w:r>
        <w:rPr>
          <w:rFonts w:hint="eastAsia" w:ascii="宋体" w:hAnsi="宋体"/>
          <w:kern w:val="0"/>
        </w:rPr>
        <w:t>—</w:t>
      </w:r>
      <w:r>
        <w:rPr>
          <w:rFonts w:ascii="宋体" w:hAnsi="宋体"/>
          <w:kern w:val="0"/>
        </w:rPr>
        <w:t>太阳能集热系统</w:t>
      </w:r>
      <w:r>
        <w:rPr>
          <w:rFonts w:hint="eastAsia" w:ascii="宋体" w:hAnsi="宋体"/>
          <w:kern w:val="0"/>
        </w:rPr>
        <w:t>制热</w:t>
      </w:r>
      <w:r>
        <w:rPr>
          <w:rFonts w:ascii="宋体" w:hAnsi="宋体"/>
          <w:kern w:val="0"/>
        </w:rPr>
        <w:t>效率</w:t>
      </w:r>
      <w:r>
        <w:rPr>
          <w:rFonts w:hint="eastAsia" w:ascii="宋体" w:hAnsi="宋体"/>
          <w:kern w:val="0"/>
        </w:rPr>
        <w:t>，无量纲</w:t>
      </w:r>
      <w:r>
        <w:rPr>
          <w:rFonts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Q</w:t>
      </w:r>
      <w:r>
        <w:rPr>
          <w:rFonts w:ascii="宋体" w:hAnsi="宋体"/>
          <w:iCs/>
          <w:kern w:val="0"/>
          <w:vertAlign w:val="subscript"/>
        </w:rPr>
        <w:t>j</w:t>
      </w:r>
      <w:r>
        <w:rPr>
          <w:rFonts w:hint="eastAsia" w:ascii="宋体" w:hAnsi="宋体"/>
          <w:kern w:val="0"/>
        </w:rPr>
        <w:t>—</w:t>
      </w:r>
      <w:r>
        <w:rPr>
          <w:rFonts w:ascii="宋体" w:hAnsi="宋体"/>
          <w:kern w:val="0"/>
        </w:rPr>
        <w:t>太阳能集热器集热量，</w:t>
      </w:r>
      <w:r>
        <w:rPr>
          <w:rFonts w:hint="eastAsia" w:ascii="宋体" w:hAnsi="宋体"/>
          <w:kern w:val="0"/>
        </w:rPr>
        <w:t>单位为千焦（</w:t>
      </w:r>
      <w:r>
        <w:rPr>
          <w:rFonts w:ascii="宋体" w:hAnsi="宋体"/>
          <w:kern w:val="0"/>
        </w:rPr>
        <w:t>kJ</w:t>
      </w:r>
      <w:r>
        <w:rPr>
          <w:rFonts w:hint="eastAsia" w:ascii="宋体" w:hAnsi="宋体"/>
          <w:kern w:val="0"/>
        </w:rPr>
        <w:t>）</w:t>
      </w:r>
      <w:r>
        <w:rPr>
          <w:rFonts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A</w:t>
      </w:r>
      <w:r>
        <w:rPr>
          <w:rFonts w:hint="eastAsia" w:ascii="宋体" w:hAnsi="宋体"/>
          <w:kern w:val="0"/>
        </w:rPr>
        <w:t>—</w:t>
      </w:r>
      <w:r>
        <w:rPr>
          <w:rFonts w:ascii="宋体" w:hAnsi="宋体"/>
          <w:kern w:val="0"/>
        </w:rPr>
        <w:t>集热器采光面积，</w:t>
      </w:r>
      <w:r>
        <w:rPr>
          <w:rFonts w:hint="eastAsia" w:ascii="宋体" w:hAnsi="宋体"/>
          <w:kern w:val="0"/>
        </w:rPr>
        <w:t>单位为平方米（</w:t>
      </w:r>
      <w:r>
        <w:rPr>
          <w:rFonts w:ascii="宋体" w:hAnsi="宋体"/>
          <w:kern w:val="0"/>
        </w:rPr>
        <w:t>m</w:t>
      </w:r>
      <w:r>
        <w:rPr>
          <w:rFonts w:ascii="宋体" w:hAnsi="宋体"/>
          <w:kern w:val="0"/>
          <w:vertAlign w:val="superscript"/>
        </w:rPr>
        <w:t>2</w:t>
      </w:r>
      <w:r>
        <w:rPr>
          <w:rFonts w:hint="eastAsia" w:ascii="宋体" w:hAnsi="宋体"/>
          <w:kern w:val="0"/>
        </w:rPr>
        <w:t>）</w:t>
      </w:r>
      <w:r>
        <w:rPr>
          <w:rFonts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G</w:t>
      </w:r>
      <w:r>
        <w:rPr>
          <w:rFonts w:ascii="宋体" w:hAnsi="宋体"/>
          <w:iCs/>
          <w:kern w:val="0"/>
          <w:vertAlign w:val="subscript"/>
        </w:rPr>
        <w:t>g</w:t>
      </w:r>
      <w:r>
        <w:rPr>
          <w:rFonts w:ascii="宋体" w:hAnsi="宋体"/>
          <w:i/>
          <w:iCs/>
          <w:kern w:val="0"/>
          <w:vertAlign w:val="subscript"/>
        </w:rPr>
        <w:t>i</w:t>
      </w:r>
      <w:r>
        <w:rPr>
          <w:rFonts w:hint="eastAsia" w:ascii="宋体" w:hAnsi="宋体"/>
          <w:kern w:val="0"/>
        </w:rPr>
        <w:t>—</w:t>
      </w:r>
      <w:r>
        <w:rPr>
          <w:rFonts w:ascii="宋体" w:hAnsi="宋体"/>
          <w:kern w:val="0"/>
        </w:rPr>
        <w:t>第i次记录的总辐照度，</w:t>
      </w:r>
      <w:r>
        <w:rPr>
          <w:rFonts w:hint="eastAsia" w:ascii="宋体" w:hAnsi="宋体"/>
          <w:kern w:val="0"/>
        </w:rPr>
        <w:t>单位为千瓦每平方米（</w:t>
      </w:r>
      <w:r>
        <w:rPr>
          <w:rFonts w:ascii="宋体" w:hAnsi="宋体"/>
          <w:kern w:val="0"/>
        </w:rPr>
        <w:t>kW/m</w:t>
      </w:r>
      <w:r>
        <w:rPr>
          <w:rFonts w:ascii="宋体" w:hAnsi="宋体"/>
          <w:kern w:val="0"/>
          <w:vertAlign w:val="superscript"/>
        </w:rPr>
        <w:t>2</w:t>
      </w:r>
      <w:r>
        <w:rPr>
          <w:rFonts w:hint="eastAsia" w:ascii="宋体" w:hAnsi="宋体"/>
          <w:kern w:val="0"/>
        </w:rPr>
        <w:t>）</w:t>
      </w:r>
      <w:r>
        <w:rPr>
          <w:rFonts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Δ</w:t>
      </w:r>
      <w:r>
        <w:rPr>
          <w:rFonts w:hint="eastAsia" w:ascii="宋体" w:hAnsi="宋体"/>
          <w:i/>
          <w:iCs/>
          <w:kern w:val="0"/>
        </w:rPr>
        <w:t>t</w:t>
      </w:r>
      <w:r>
        <w:rPr>
          <w:rFonts w:ascii="宋体" w:hAnsi="宋体"/>
          <w:i/>
          <w:iCs/>
          <w:kern w:val="0"/>
          <w:vertAlign w:val="subscript"/>
        </w:rPr>
        <w:t>i</w:t>
      </w:r>
      <w:r>
        <w:rPr>
          <w:rFonts w:hint="eastAsia" w:ascii="宋体" w:hAnsi="宋体"/>
          <w:kern w:val="0"/>
        </w:rPr>
        <w:t>—</w:t>
      </w:r>
      <w:r>
        <w:rPr>
          <w:rFonts w:ascii="宋体" w:hAnsi="宋体"/>
          <w:kern w:val="0"/>
        </w:rPr>
        <w:t>第i次记录的时间间隔，</w:t>
      </w:r>
      <w:r>
        <w:rPr>
          <w:rFonts w:hint="eastAsia" w:ascii="宋体" w:hAnsi="宋体"/>
          <w:kern w:val="0"/>
        </w:rPr>
        <w:t>单位为秒（</w:t>
      </w:r>
      <w:r>
        <w:rPr>
          <w:rFonts w:ascii="宋体" w:hAnsi="宋体"/>
          <w:kern w:val="0"/>
        </w:rPr>
        <w:t>s</w:t>
      </w:r>
      <w:r>
        <w:rPr>
          <w:rFonts w:hint="eastAsia"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rPr>
      </w:pPr>
      <w:r>
        <w:rPr>
          <w:rFonts w:ascii="宋体" w:hAnsi="宋体"/>
          <w:i/>
          <w:iCs/>
          <w:kern w:val="0"/>
        </w:rPr>
        <w:t>G</w:t>
      </w:r>
      <w:r>
        <w:rPr>
          <w:rFonts w:ascii="宋体" w:hAnsi="宋体"/>
          <w:iCs/>
          <w:kern w:val="0"/>
          <w:vertAlign w:val="subscript"/>
        </w:rPr>
        <w:t>b</w:t>
      </w:r>
      <w:r>
        <w:rPr>
          <w:rFonts w:ascii="宋体" w:hAnsi="宋体"/>
          <w:i/>
          <w:iCs/>
          <w:kern w:val="0"/>
          <w:vertAlign w:val="subscript"/>
        </w:rPr>
        <w:t>i</w:t>
      </w:r>
      <w:r>
        <w:rPr>
          <w:rFonts w:hint="eastAsia" w:ascii="宋体" w:hAnsi="宋体"/>
          <w:kern w:val="0"/>
        </w:rPr>
        <w:t>—</w:t>
      </w:r>
      <w:r>
        <w:rPr>
          <w:rFonts w:ascii="宋体" w:hAnsi="宋体"/>
          <w:kern w:val="0"/>
        </w:rPr>
        <w:t>第i次记录的直射辐照度，</w:t>
      </w:r>
      <w:r>
        <w:rPr>
          <w:rFonts w:hint="eastAsia" w:ascii="宋体" w:hAnsi="宋体"/>
          <w:kern w:val="0"/>
        </w:rPr>
        <w:t>单位为千瓦每平方米（</w:t>
      </w:r>
      <w:r>
        <w:rPr>
          <w:rFonts w:ascii="宋体" w:hAnsi="宋体"/>
          <w:kern w:val="0"/>
        </w:rPr>
        <w:t>kW/m</w:t>
      </w:r>
      <w:r>
        <w:rPr>
          <w:rFonts w:ascii="宋体" w:hAnsi="宋体"/>
          <w:kern w:val="0"/>
          <w:vertAlign w:val="superscript"/>
        </w:rPr>
        <w:t>2</w:t>
      </w:r>
      <w:r>
        <w:rPr>
          <w:rFonts w:hint="eastAsia" w:ascii="宋体" w:hAnsi="宋体"/>
          <w:kern w:val="0"/>
        </w:rPr>
        <w:t>）</w:t>
      </w:r>
      <w:r>
        <w:rPr>
          <w:rFonts w:ascii="宋体" w:hAnsi="宋体"/>
          <w:kern w:val="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rPr>
      </w:pPr>
      <w:r>
        <w:rPr>
          <w:rFonts w:ascii="宋体" w:hAnsi="宋体"/>
          <w:i/>
          <w:iCs/>
          <w:kern w:val="0"/>
        </w:rPr>
        <w:t>C</w:t>
      </w:r>
      <w:r>
        <w:rPr>
          <w:rFonts w:hint="eastAsia" w:ascii="宋体" w:hAnsi="宋体"/>
          <w:kern w:val="0"/>
        </w:rPr>
        <w:t>—</w:t>
      </w:r>
      <w:r>
        <w:rPr>
          <w:rFonts w:ascii="宋体" w:hAnsi="宋体"/>
          <w:kern w:val="0"/>
        </w:rPr>
        <w:t>聚光比</w:t>
      </w:r>
      <w:r>
        <w:rPr>
          <w:rFonts w:hint="eastAsia" w:ascii="宋体" w:hAnsi="宋体"/>
          <w:kern w:val="0"/>
        </w:rPr>
        <w:t>。</w:t>
      </w:r>
    </w:p>
    <w:p>
      <w:pPr>
        <w:pStyle w:val="81"/>
        <w:spacing w:before="156" w:after="156"/>
        <w:ind w:left="0"/>
      </w:pPr>
      <w:r>
        <w:rPr>
          <w:rFonts w:hint="eastAsia"/>
        </w:rPr>
        <w:t>制冷能力的计算方法</w:t>
      </w:r>
    </w:p>
    <w:p>
      <w:pPr>
        <w:pStyle w:val="58"/>
        <w:ind w:firstLine="420"/>
      </w:pPr>
      <w:r>
        <w:rPr>
          <w:rFonts w:hint="eastAsia"/>
        </w:rPr>
        <w:t>使用载冷剂作为冷量载体，按公式（D.5）计算：</w:t>
      </w:r>
    </w:p>
    <w:p>
      <w:pPr>
        <w:pStyle w:val="115"/>
      </w:pPr>
      <w:r>
        <w:tab/>
      </w:r>
      <w:r>
        <w:rPr>
          <w:position w:val="-28"/>
        </w:rPr>
        <w:object>
          <v:shape id="_x0000_i1034" o:spt="75" type="#_x0000_t75" style="height:34.5pt;width:139.9pt;" o:ole="t" filled="f" o:preferrelative="t" stroked="f" coordsize="21600,21600">
            <v:path/>
            <v:fill on="f" focussize="0,0"/>
            <v:stroke on="f" joinstyle="miter"/>
            <v:imagedata r:id="rId64" o:title=""/>
            <o:lock v:ext="edit" aspectratio="t"/>
            <w10:wrap type="none"/>
            <w10:anchorlock/>
          </v:shape>
          <o:OLEObject Type="Embed" ProgID="Equation.DSMT4" ShapeID="_x0000_i1034" DrawAspect="Content" ObjectID="_1468075734" r:id="rId63">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5</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制冷量，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Cambria" w:hAnsi="Cambria" w:cs="Cambria"/>
          <w:i/>
          <w:iCs/>
          <w:kern w:val="0"/>
          <w:szCs w:val="20"/>
        </w:rPr>
        <w:t>ṁ</w:t>
      </w:r>
      <w:r>
        <w:rPr>
          <w:rFonts w:ascii="宋体" w:hAnsi="宋体"/>
          <w:iCs/>
          <w:kern w:val="0"/>
          <w:szCs w:val="20"/>
          <w:vertAlign w:val="subscript"/>
        </w:rPr>
        <w:t>c</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第i次记录的载冷剂</w:t>
      </w:r>
      <w:r>
        <w:rPr>
          <w:rFonts w:hint="eastAsia" w:ascii="宋体" w:hAnsi="宋体"/>
          <w:kern w:val="0"/>
          <w:szCs w:val="20"/>
        </w:rPr>
        <w:t>质量</w:t>
      </w:r>
      <w:r>
        <w:rPr>
          <w:rFonts w:ascii="宋体" w:hAnsi="宋体"/>
          <w:kern w:val="0"/>
          <w:szCs w:val="20"/>
        </w:rPr>
        <w:t>流量，</w:t>
      </w:r>
      <w:r>
        <w:rPr>
          <w:rFonts w:hint="eastAsia" w:ascii="宋体" w:hAnsi="宋体"/>
          <w:kern w:val="0"/>
          <w:szCs w:val="20"/>
        </w:rPr>
        <w:t>单位为千克每秒（kg</w:t>
      </w:r>
      <w:r>
        <w:rPr>
          <w:rFonts w:ascii="宋体" w:hAnsi="宋体"/>
          <w:kern w:val="0"/>
          <w:szCs w:val="20"/>
        </w:rPr>
        <w:t>/s</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hint="eastAsia" w:ascii="宋体" w:hAnsi="宋体"/>
          <w:i/>
          <w:iCs/>
          <w:kern w:val="0"/>
          <w:szCs w:val="20"/>
        </w:rPr>
        <w:t>c</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载冷剂比热，</w:t>
      </w:r>
      <w:r>
        <w:rPr>
          <w:rFonts w:hint="eastAsia" w:ascii="宋体" w:hAnsi="宋体"/>
          <w:kern w:val="0"/>
          <w:szCs w:val="20"/>
        </w:rPr>
        <w:t>单位为千焦每千克每摄氏度（</w:t>
      </w:r>
      <w:r>
        <w:rPr>
          <w:rFonts w:ascii="宋体" w:hAnsi="宋体"/>
          <w:kern w:val="0"/>
          <w:szCs w:val="20"/>
        </w:rPr>
        <w:t>kJ/（kg·ºC）</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ρ</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载冷剂密度，</w:t>
      </w:r>
      <w:r>
        <w:rPr>
          <w:rFonts w:hint="eastAsia" w:ascii="宋体" w:hAnsi="宋体"/>
          <w:kern w:val="0"/>
          <w:szCs w:val="20"/>
        </w:rPr>
        <w:t>单位为千克每立方米（</w:t>
      </w:r>
      <w:r>
        <w:rPr>
          <w:rFonts w:ascii="宋体" w:hAnsi="宋体"/>
          <w:kern w:val="0"/>
          <w:szCs w:val="20"/>
        </w:rPr>
        <w:t>kg/m</w:t>
      </w:r>
      <w:r>
        <w:rPr>
          <w:rFonts w:ascii="宋体" w:hAnsi="宋体"/>
          <w:kern w:val="0"/>
          <w:szCs w:val="20"/>
          <w:vertAlign w:val="superscript"/>
        </w:rPr>
        <w:t>3</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T</w:t>
      </w:r>
      <w:r>
        <w:rPr>
          <w:rFonts w:ascii="宋体" w:hAnsi="宋体"/>
          <w:iCs/>
          <w:kern w:val="0"/>
          <w:szCs w:val="20"/>
          <w:vertAlign w:val="subscript"/>
        </w:rPr>
        <w:t>c1</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第i次记录的载冷剂进口温度，</w:t>
      </w:r>
      <w:r>
        <w:rPr>
          <w:rFonts w:hint="eastAsia" w:ascii="宋体" w:hAnsi="宋体"/>
          <w:kern w:val="0"/>
          <w:szCs w:val="20"/>
        </w:rPr>
        <w:t>单位为摄氏度（</w:t>
      </w:r>
      <w:r>
        <w:rPr>
          <w:rFonts w:ascii="宋体" w:hAnsi="宋体"/>
          <w:kern w:val="0"/>
          <w:szCs w:val="20"/>
        </w:rPr>
        <w:t>ºC</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T</w:t>
      </w:r>
      <w:r>
        <w:rPr>
          <w:rFonts w:ascii="宋体" w:hAnsi="宋体"/>
          <w:iCs/>
          <w:kern w:val="0"/>
          <w:szCs w:val="20"/>
          <w:vertAlign w:val="subscript"/>
        </w:rPr>
        <w:t>c2</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第i次记录的载冷剂出口温度，</w:t>
      </w:r>
      <w:r>
        <w:rPr>
          <w:rFonts w:hint="eastAsia" w:ascii="宋体" w:hAnsi="宋体"/>
          <w:kern w:val="0"/>
          <w:szCs w:val="20"/>
        </w:rPr>
        <w:t>单位为摄氏度（</w:t>
      </w:r>
      <w:r>
        <w:rPr>
          <w:rFonts w:ascii="宋体" w:hAnsi="宋体"/>
          <w:kern w:val="0"/>
          <w:szCs w:val="20"/>
        </w:rPr>
        <w:t>ºC</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260" w:leftChars="200" w:hanging="840" w:hangingChars="400"/>
        <w:jc w:val="left"/>
        <w:rPr>
          <w:rFonts w:ascii="宋体" w:hAnsi="宋体"/>
          <w:iCs/>
          <w:kern w:val="0"/>
          <w:szCs w:val="20"/>
        </w:rPr>
      </w:pPr>
      <w:r>
        <w:rPr>
          <w:rFonts w:ascii="宋体" w:hAnsi="宋体"/>
          <w:i/>
          <w:iCs/>
          <w:kern w:val="0"/>
          <w:szCs w:val="20"/>
        </w:rPr>
        <w:t>Δ</w:t>
      </w:r>
      <w:r>
        <w:rPr>
          <w:rFonts w:hint="eastAsia" w:ascii="宋体" w:hAnsi="宋体"/>
          <w:i/>
          <w:iCs/>
          <w:kern w:val="0"/>
          <w:szCs w:val="20"/>
        </w:rPr>
        <w:t>t</w:t>
      </w:r>
      <w:r>
        <w:rPr>
          <w:rFonts w:ascii="宋体" w:hAnsi="宋体"/>
          <w:iCs/>
          <w:kern w:val="0"/>
          <w:szCs w:val="20"/>
          <w:vertAlign w:val="subscript"/>
        </w:rPr>
        <w:t>c</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第i次记录的时间间隔（每日测试的时间从上午8时开始至次日上午8时，</w:t>
      </w:r>
      <w:r>
        <w:rPr>
          <w:rFonts w:ascii="宋体" w:hAnsi="宋体"/>
          <w:iCs/>
          <w:kern w:val="0"/>
          <w:szCs w:val="20"/>
        </w:rPr>
        <w:t>Δ</w:t>
      </w:r>
      <w:r>
        <w:rPr>
          <w:rFonts w:hint="eastAsia" w:ascii="宋体" w:hAnsi="宋体"/>
          <w:iCs/>
          <w:kern w:val="0"/>
          <w:szCs w:val="20"/>
        </w:rPr>
        <w:t>t</w:t>
      </w:r>
      <w:r>
        <w:rPr>
          <w:rFonts w:ascii="宋体" w:hAnsi="宋体"/>
          <w:iCs/>
          <w:kern w:val="0"/>
          <w:szCs w:val="20"/>
          <w:vertAlign w:val="subscript"/>
        </w:rPr>
        <w:t>c</w:t>
      </w:r>
      <w:r>
        <w:rPr>
          <w:rFonts w:ascii="宋体" w:hAnsi="宋体"/>
          <w:i/>
          <w:iCs/>
          <w:kern w:val="0"/>
          <w:szCs w:val="20"/>
          <w:vertAlign w:val="subscript"/>
        </w:rPr>
        <w:t>i</w:t>
      </w:r>
      <w:r>
        <w:rPr>
          <w:rFonts w:ascii="宋体" w:hAnsi="宋体"/>
          <w:kern w:val="0"/>
          <w:szCs w:val="20"/>
        </w:rPr>
        <w:t>应不大于600s），</w:t>
      </w:r>
      <w:r>
        <w:rPr>
          <w:rFonts w:hint="eastAsia" w:ascii="宋体" w:hAnsi="宋体"/>
          <w:kern w:val="0"/>
          <w:szCs w:val="20"/>
        </w:rPr>
        <w:t>单位为秒（</w:t>
      </w:r>
      <w:r>
        <w:rPr>
          <w:rFonts w:ascii="宋体" w:hAnsi="宋体"/>
          <w:kern w:val="0"/>
          <w:szCs w:val="20"/>
        </w:rPr>
        <w:t>s</w:t>
      </w:r>
      <w:r>
        <w:rPr>
          <w:rFonts w:hint="eastAsia" w:ascii="宋体" w:hAnsi="宋体"/>
          <w:kern w:val="0"/>
          <w:szCs w:val="20"/>
        </w:rPr>
        <w:t>）</w:t>
      </w:r>
      <w:r>
        <w:rPr>
          <w:rFonts w:ascii="宋体" w:hAnsi="宋体"/>
          <w:kern w:val="0"/>
          <w:szCs w:val="20"/>
        </w:rPr>
        <w:t>。</w:t>
      </w:r>
    </w:p>
    <w:p>
      <w:pPr>
        <w:pStyle w:val="58"/>
        <w:ind w:firstLine="420"/>
      </w:pPr>
      <w:r>
        <w:rPr>
          <w:rFonts w:hint="eastAsia"/>
        </w:rPr>
        <w:t>使用空气作为冷量载体，按公式（D.6）计算：</w:t>
      </w:r>
    </w:p>
    <w:p>
      <w:pPr>
        <w:pStyle w:val="115"/>
      </w:pPr>
      <w:r>
        <w:tab/>
      </w:r>
      <w:r>
        <w:rPr>
          <w:position w:val="-28"/>
        </w:rPr>
        <w:object>
          <v:shape id="_x0000_i1035" o:spt="75" type="#_x0000_t75" style="height:34.5pt;width:169.15pt;" o:ole="t" filled="f" o:preferrelative="t" stroked="f" coordsize="21600,21600">
            <v:path/>
            <v:fill on="f" focussize="0,0"/>
            <v:stroke on="f" joinstyle="miter"/>
            <v:imagedata r:id="rId66" o:title=""/>
            <o:lock v:ext="edit" aspectratio="t"/>
            <w10:wrap type="none"/>
            <w10:anchorlock/>
          </v:shape>
          <o:OLEObject Type="Embed" ProgID="Equation.DSMT4" ShapeID="_x0000_i1035" DrawAspect="Content" ObjectID="_1468075735" r:id="rId65">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6</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制冷量，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iCs/>
          <w:kern w:val="0"/>
          <w:szCs w:val="20"/>
        </w:rPr>
        <w:t>V</w:t>
      </w:r>
      <w:r>
        <w:rPr>
          <w:rFonts w:ascii="宋体" w:hAnsi="宋体"/>
          <w:iCs/>
          <w:kern w:val="0"/>
          <w:szCs w:val="20"/>
          <w:vertAlign w:val="subscript"/>
        </w:rPr>
        <w:t>pro,</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第i次记录的处理空气的</w:t>
      </w:r>
      <w:r>
        <w:rPr>
          <w:rFonts w:hint="eastAsia" w:ascii="宋体" w:hAnsi="宋体"/>
          <w:kern w:val="0"/>
          <w:szCs w:val="20"/>
        </w:rPr>
        <w:t>体积</w:t>
      </w:r>
      <w:r>
        <w:rPr>
          <w:rFonts w:ascii="宋体" w:hAnsi="宋体"/>
          <w:kern w:val="0"/>
          <w:szCs w:val="20"/>
        </w:rPr>
        <w:t>流量，</w:t>
      </w:r>
      <w:r>
        <w:rPr>
          <w:rFonts w:hint="eastAsia" w:ascii="宋体" w:hAnsi="宋体"/>
          <w:kern w:val="0"/>
          <w:szCs w:val="20"/>
        </w:rPr>
        <w:t>单位为立方米每秒（</w:t>
      </w:r>
      <w:r>
        <w:rPr>
          <w:rFonts w:ascii="宋体" w:hAnsi="宋体"/>
          <w:kern w:val="0"/>
          <w:szCs w:val="20"/>
        </w:rPr>
        <w:t>m</w:t>
      </w:r>
      <w:r>
        <w:rPr>
          <w:rFonts w:ascii="宋体" w:hAnsi="宋体"/>
          <w:kern w:val="0"/>
          <w:szCs w:val="20"/>
          <w:vertAlign w:val="superscript"/>
        </w:rPr>
        <w:t>3</w:t>
      </w:r>
      <w:r>
        <w:rPr>
          <w:rFonts w:ascii="宋体" w:hAnsi="宋体"/>
          <w:kern w:val="0"/>
          <w:szCs w:val="20"/>
        </w:rPr>
        <w:t>/s</w:t>
      </w:r>
      <w:r>
        <w:rPr>
          <w:rFonts w:hint="eastAsia" w:ascii="宋体" w:hAnsi="宋体"/>
          <w:kern w:val="0"/>
          <w:szCs w:val="20"/>
        </w:rPr>
        <w:t>）</w:t>
      </w:r>
      <w:r>
        <w:rPr>
          <w:rFonts w:ascii="宋体" w:hAnsi="宋体"/>
          <w:kern w:val="0"/>
          <w:szCs w:val="20"/>
        </w:rPr>
        <w:t xml:space="preserve">； </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iCs/>
          <w:kern w:val="0"/>
          <w:szCs w:val="20"/>
        </w:rPr>
        <w:t>ρ</w:t>
      </w:r>
      <w:r>
        <w:rPr>
          <w:rFonts w:ascii="宋体" w:hAnsi="宋体"/>
          <w:iCs/>
          <w:kern w:val="0"/>
          <w:szCs w:val="20"/>
          <w:vertAlign w:val="subscript"/>
        </w:rPr>
        <w:t>a</w:t>
      </w:r>
      <w:r>
        <w:rPr>
          <w:rFonts w:hint="eastAsia" w:ascii="宋体" w:hAnsi="宋体"/>
          <w:kern w:val="0"/>
          <w:szCs w:val="20"/>
        </w:rPr>
        <w:t>—</w:t>
      </w:r>
      <w:r>
        <w:rPr>
          <w:rFonts w:ascii="宋体" w:hAnsi="宋体"/>
          <w:kern w:val="0"/>
          <w:szCs w:val="20"/>
        </w:rPr>
        <w:t>处理空气密度，</w:t>
      </w:r>
      <w:r>
        <w:rPr>
          <w:rFonts w:hint="eastAsia" w:ascii="宋体" w:hAnsi="宋体"/>
          <w:kern w:val="0"/>
          <w:szCs w:val="20"/>
        </w:rPr>
        <w:t>单位为千克每立方米（</w:t>
      </w:r>
      <w:r>
        <w:rPr>
          <w:rFonts w:ascii="宋体" w:hAnsi="宋体"/>
          <w:kern w:val="0"/>
          <w:szCs w:val="20"/>
        </w:rPr>
        <w:t>kg/m</w:t>
      </w:r>
      <w:r>
        <w:rPr>
          <w:rFonts w:ascii="宋体" w:hAnsi="宋体"/>
          <w:kern w:val="0"/>
          <w:szCs w:val="20"/>
          <w:vertAlign w:val="superscript"/>
        </w:rPr>
        <w:t>3</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h</w:t>
      </w:r>
      <w:r>
        <w:rPr>
          <w:rFonts w:ascii="宋体" w:hAnsi="宋体"/>
          <w:iCs/>
          <w:kern w:val="0"/>
          <w:szCs w:val="20"/>
          <w:vertAlign w:val="subscript"/>
        </w:rPr>
        <w:t>pro，in,</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第i次记录的处理空气进口的</w:t>
      </w:r>
      <w:r>
        <w:rPr>
          <w:rFonts w:hint="eastAsia" w:ascii="宋体" w:hAnsi="宋体"/>
          <w:kern w:val="0"/>
          <w:szCs w:val="20"/>
        </w:rPr>
        <w:t>比</w:t>
      </w:r>
      <w:r>
        <w:rPr>
          <w:rFonts w:ascii="宋体" w:hAnsi="宋体"/>
          <w:kern w:val="0"/>
          <w:szCs w:val="20"/>
        </w:rPr>
        <w:t>焓，</w:t>
      </w:r>
      <w:r>
        <w:rPr>
          <w:rFonts w:hint="eastAsia" w:ascii="宋体" w:hAnsi="宋体"/>
          <w:kern w:val="0"/>
          <w:szCs w:val="20"/>
        </w:rPr>
        <w:t>单位为千焦每千克（</w:t>
      </w:r>
      <w:r>
        <w:rPr>
          <w:rFonts w:ascii="宋体" w:hAnsi="宋体"/>
          <w:kern w:val="0"/>
          <w:szCs w:val="20"/>
        </w:rPr>
        <w:t>kJ/kg</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h</w:t>
      </w:r>
      <w:r>
        <w:rPr>
          <w:rFonts w:ascii="宋体" w:hAnsi="宋体"/>
          <w:iCs/>
          <w:kern w:val="0"/>
          <w:szCs w:val="20"/>
          <w:vertAlign w:val="subscript"/>
        </w:rPr>
        <w:t>pro，out,</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第i次记录的处理空气出口的</w:t>
      </w:r>
      <w:r>
        <w:rPr>
          <w:rFonts w:hint="eastAsia" w:ascii="宋体" w:hAnsi="宋体"/>
          <w:kern w:val="0"/>
          <w:szCs w:val="20"/>
        </w:rPr>
        <w:t>比</w:t>
      </w:r>
      <w:r>
        <w:rPr>
          <w:rFonts w:ascii="宋体" w:hAnsi="宋体"/>
          <w:kern w:val="0"/>
          <w:szCs w:val="20"/>
        </w:rPr>
        <w:t>焓，</w:t>
      </w:r>
      <w:r>
        <w:rPr>
          <w:rFonts w:hint="eastAsia" w:ascii="宋体" w:hAnsi="宋体"/>
          <w:kern w:val="0"/>
          <w:szCs w:val="20"/>
        </w:rPr>
        <w:t>单位为千焦每千克（</w:t>
      </w:r>
      <w:r>
        <w:rPr>
          <w:rFonts w:ascii="宋体" w:hAnsi="宋体"/>
          <w:kern w:val="0"/>
          <w:szCs w:val="20"/>
        </w:rPr>
        <w:t>kJ/kg</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left="1155" w:leftChars="150" w:hanging="840" w:hangingChars="400"/>
        <w:jc w:val="left"/>
        <w:rPr>
          <w:rFonts w:ascii="宋体" w:hAnsi="宋体"/>
          <w:iCs/>
          <w:kern w:val="0"/>
          <w:szCs w:val="20"/>
        </w:rPr>
      </w:pPr>
      <w:r>
        <w:rPr>
          <w:rFonts w:ascii="宋体" w:hAnsi="宋体"/>
          <w:i/>
          <w:iCs/>
          <w:kern w:val="0"/>
          <w:szCs w:val="20"/>
        </w:rPr>
        <w:t>Δ</w:t>
      </w:r>
      <w:r>
        <w:rPr>
          <w:rFonts w:hint="eastAsia" w:ascii="宋体" w:hAnsi="宋体"/>
          <w:i/>
          <w:iCs/>
          <w:kern w:val="0"/>
          <w:szCs w:val="20"/>
        </w:rPr>
        <w:t>t</w:t>
      </w:r>
      <w:r>
        <w:rPr>
          <w:rFonts w:ascii="宋体" w:hAnsi="宋体"/>
          <w:iCs/>
          <w:kern w:val="0"/>
          <w:szCs w:val="20"/>
          <w:vertAlign w:val="subscript"/>
        </w:rPr>
        <w:t>c</w:t>
      </w:r>
      <w:r>
        <w:rPr>
          <w:rFonts w:ascii="宋体" w:hAnsi="宋体"/>
          <w:i/>
          <w:iCs/>
          <w:kern w:val="0"/>
          <w:szCs w:val="20"/>
          <w:vertAlign w:val="subscript"/>
        </w:rPr>
        <w:t>i</w:t>
      </w:r>
      <w:r>
        <w:rPr>
          <w:rFonts w:hint="eastAsia" w:ascii="宋体" w:hAnsi="宋体"/>
          <w:kern w:val="0"/>
          <w:szCs w:val="20"/>
        </w:rPr>
        <w:t>—</w:t>
      </w:r>
      <w:r>
        <w:rPr>
          <w:rFonts w:ascii="宋体" w:hAnsi="宋体"/>
          <w:kern w:val="0"/>
          <w:szCs w:val="20"/>
        </w:rPr>
        <w:t>第i次记录的时间间隔（每日测试的时间从上午8时开始至次日上午8时，</w:t>
      </w:r>
      <w:r>
        <w:rPr>
          <w:rFonts w:ascii="宋体" w:hAnsi="宋体"/>
          <w:iCs/>
          <w:kern w:val="0"/>
          <w:szCs w:val="20"/>
        </w:rPr>
        <w:t>Δ</w:t>
      </w:r>
      <w:r>
        <w:rPr>
          <w:rFonts w:hint="eastAsia" w:ascii="宋体" w:hAnsi="宋体"/>
          <w:iCs/>
          <w:kern w:val="0"/>
          <w:szCs w:val="20"/>
        </w:rPr>
        <w:t>t</w:t>
      </w:r>
      <w:r>
        <w:rPr>
          <w:rFonts w:ascii="宋体" w:hAnsi="宋体"/>
          <w:iCs/>
          <w:kern w:val="0"/>
          <w:szCs w:val="20"/>
          <w:vertAlign w:val="subscript"/>
        </w:rPr>
        <w:t>c</w:t>
      </w:r>
      <w:r>
        <w:rPr>
          <w:rFonts w:ascii="宋体" w:hAnsi="宋体"/>
          <w:i/>
          <w:iCs/>
          <w:kern w:val="0"/>
          <w:szCs w:val="20"/>
          <w:vertAlign w:val="subscript"/>
        </w:rPr>
        <w:t>i</w:t>
      </w:r>
      <w:r>
        <w:rPr>
          <w:rFonts w:ascii="宋体" w:hAnsi="宋体"/>
          <w:kern w:val="0"/>
          <w:szCs w:val="20"/>
        </w:rPr>
        <w:t>应不大于600s），</w:t>
      </w:r>
      <w:r>
        <w:rPr>
          <w:rFonts w:hint="eastAsia" w:ascii="宋体" w:hAnsi="宋体"/>
          <w:kern w:val="0"/>
          <w:szCs w:val="20"/>
        </w:rPr>
        <w:t>单位为秒（</w:t>
      </w:r>
      <w:r>
        <w:rPr>
          <w:rFonts w:ascii="宋体" w:hAnsi="宋体"/>
          <w:kern w:val="0"/>
          <w:szCs w:val="20"/>
        </w:rPr>
        <w:t>s</w:t>
      </w:r>
      <w:r>
        <w:rPr>
          <w:rFonts w:hint="eastAsia" w:ascii="宋体" w:hAnsi="宋体"/>
          <w:kern w:val="0"/>
          <w:szCs w:val="20"/>
        </w:rPr>
        <w:t>）</w:t>
      </w:r>
      <w:r>
        <w:rPr>
          <w:rFonts w:ascii="宋体" w:hAnsi="宋体"/>
          <w:kern w:val="0"/>
          <w:szCs w:val="20"/>
        </w:rPr>
        <w:t>。</w:t>
      </w:r>
    </w:p>
    <w:p>
      <w:pPr>
        <w:pStyle w:val="58"/>
        <w:ind w:firstLine="420"/>
      </w:pPr>
      <w:r>
        <w:rPr>
          <w:rFonts w:hint="eastAsia"/>
        </w:rPr>
        <w:t>设计中温太阳能空调系统负荷率，按公式（D.7）计算：</w:t>
      </w:r>
    </w:p>
    <w:p>
      <w:pPr>
        <w:pStyle w:val="115"/>
      </w:pPr>
      <w:r>
        <w:tab/>
      </w:r>
      <w:r>
        <w:rPr>
          <w:position w:val="-30"/>
        </w:rPr>
        <w:object>
          <v:shape id="_x0000_i1036" o:spt="75" type="#_x0000_t75" style="height:34.5pt;width:78pt;" o:ole="t" filled="f" o:preferrelative="t" stroked="f" coordsize="21600,21600">
            <v:path/>
            <v:fill on="f" focussize="0,0"/>
            <v:stroke on="f" joinstyle="miter"/>
            <v:imagedata r:id="rId68" o:title=""/>
            <o:lock v:ext="edit" aspectratio="t"/>
            <w10:wrap type="none"/>
            <w10:anchorlock/>
          </v:shape>
          <o:OLEObject Type="Embed" ProgID="Equation.DSMT4" ShapeID="_x0000_i1036" DrawAspect="Content" ObjectID="_1468075736" r:id="rId67">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7</w:t>
      </w:r>
      <w:r>
        <w:fldChar w:fldCharType="end"/>
      </w:r>
      <w:r>
        <w:t>)</w:t>
      </w:r>
    </w:p>
    <w:p>
      <w:pPr>
        <w:pStyle w:val="58"/>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kern w:val="0"/>
          <w:szCs w:val="20"/>
        </w:rPr>
        <w:t>ε</w:t>
      </w:r>
      <w:r>
        <w:rPr>
          <w:rFonts w:ascii="宋体" w:hAnsi="宋体"/>
          <w:kern w:val="0"/>
          <w:szCs w:val="20"/>
          <w:vertAlign w:val="subscript"/>
        </w:rPr>
        <w:t>c</w:t>
      </w:r>
      <w:r>
        <w:rPr>
          <w:rFonts w:hint="eastAsia" w:ascii="宋体" w:hAnsi="宋体"/>
          <w:kern w:val="0"/>
          <w:szCs w:val="20"/>
        </w:rPr>
        <w:t>—</w:t>
      </w:r>
      <w:r>
        <w:rPr>
          <w:rFonts w:ascii="宋体" w:hAnsi="宋体"/>
          <w:kern w:val="0"/>
          <w:szCs w:val="20"/>
        </w:rPr>
        <w:t>设计中温太阳能</w:t>
      </w:r>
      <w:r>
        <w:rPr>
          <w:rFonts w:hint="eastAsia" w:ascii="宋体" w:hAnsi="宋体"/>
          <w:kern w:val="0"/>
          <w:szCs w:val="20"/>
        </w:rPr>
        <w:t>空调</w:t>
      </w:r>
      <w:r>
        <w:rPr>
          <w:rFonts w:ascii="宋体" w:hAnsi="宋体"/>
          <w:kern w:val="0"/>
          <w:szCs w:val="20"/>
        </w:rPr>
        <w:t>系统负荷率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kern w:val="0"/>
          <w:szCs w:val="20"/>
        </w:rPr>
        <w:t>Q</w:t>
      </w:r>
      <w:r>
        <w:rPr>
          <w:rFonts w:ascii="宋体" w:hAnsi="宋体"/>
          <w:kern w:val="0"/>
          <w:szCs w:val="20"/>
          <w:vertAlign w:val="subscript"/>
        </w:rPr>
        <w:t>c</w:t>
      </w:r>
      <w:r>
        <w:rPr>
          <w:rFonts w:hint="eastAsia" w:ascii="宋体" w:hAnsi="宋体"/>
          <w:kern w:val="0"/>
          <w:szCs w:val="20"/>
        </w:rPr>
        <w:t>—单日</w:t>
      </w:r>
      <w:r>
        <w:rPr>
          <w:rFonts w:ascii="宋体" w:hAnsi="宋体"/>
          <w:kern w:val="0"/>
          <w:szCs w:val="20"/>
        </w:rPr>
        <w:t>制冷量，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right="105" w:firstLine="420" w:firstLineChars="200"/>
        <w:jc w:val="left"/>
        <w:rPr>
          <w:rFonts w:ascii="宋体" w:hAnsi="宋体"/>
          <w:kern w:val="0"/>
          <w:szCs w:val="20"/>
        </w:rPr>
      </w:pPr>
      <w:r>
        <w:rPr>
          <w:rFonts w:ascii="宋体" w:hAnsi="宋体"/>
          <w:i/>
          <w:kern w:val="0"/>
          <w:szCs w:val="20"/>
        </w:rPr>
        <w:t>Q</w:t>
      </w:r>
      <w:r>
        <w:rPr>
          <w:rFonts w:ascii="宋体" w:hAnsi="宋体"/>
          <w:kern w:val="0"/>
          <w:szCs w:val="20"/>
          <w:vertAlign w:val="subscript"/>
        </w:rPr>
        <w:t>w</w:t>
      </w:r>
      <w:r>
        <w:rPr>
          <w:rFonts w:hint="eastAsia" w:ascii="宋体" w:hAnsi="宋体"/>
          <w:kern w:val="0"/>
          <w:szCs w:val="20"/>
        </w:rPr>
        <w:t>—</w:t>
      </w:r>
      <w:r>
        <w:rPr>
          <w:rFonts w:ascii="宋体" w:hAnsi="宋体"/>
          <w:kern w:val="0"/>
          <w:szCs w:val="20"/>
        </w:rPr>
        <w:t>区域冷负荷（查询中温太阳能</w:t>
      </w:r>
      <w:r>
        <w:rPr>
          <w:rFonts w:hint="eastAsia" w:ascii="宋体" w:hAnsi="宋体"/>
          <w:kern w:val="0"/>
          <w:szCs w:val="20"/>
        </w:rPr>
        <w:t>空调</w:t>
      </w:r>
      <w:r>
        <w:rPr>
          <w:rFonts w:ascii="宋体" w:hAnsi="宋体"/>
          <w:kern w:val="0"/>
          <w:szCs w:val="20"/>
        </w:rPr>
        <w:t>系统配套建筑设计资料）</w:t>
      </w:r>
      <w:r>
        <w:rPr>
          <w:rFonts w:hint="eastAsia" w:ascii="宋体" w:hAnsi="宋体"/>
          <w:kern w:val="0"/>
          <w:szCs w:val="20"/>
        </w:rPr>
        <w:t>单位为千瓦（</w:t>
      </w:r>
      <w:r>
        <w:rPr>
          <w:rFonts w:ascii="宋体" w:hAnsi="宋体"/>
          <w:kern w:val="0"/>
          <w:szCs w:val="20"/>
        </w:rPr>
        <w:t>kW</w:t>
      </w:r>
      <w:r>
        <w:rPr>
          <w:rFonts w:hint="eastAsia" w:ascii="宋体" w:hAnsi="宋体"/>
          <w:kern w:val="0"/>
          <w:szCs w:val="20"/>
        </w:rPr>
        <w:t>）</w:t>
      </w:r>
      <w:r>
        <w:rPr>
          <w:rFonts w:ascii="宋体" w:hAnsi="宋体"/>
          <w:kern w:val="0"/>
          <w:szCs w:val="20"/>
        </w:rPr>
        <w:t>。</w:t>
      </w:r>
    </w:p>
    <w:p>
      <w:pPr>
        <w:pStyle w:val="81"/>
        <w:spacing w:before="156" w:after="156"/>
        <w:ind w:left="0"/>
      </w:pPr>
      <w:r>
        <w:rPr>
          <w:rFonts w:hint="eastAsia"/>
        </w:rPr>
        <w:t>制冷能力的计算方法</w:t>
      </w:r>
    </w:p>
    <w:p>
      <w:pPr>
        <w:pStyle w:val="83"/>
        <w:spacing w:before="156" w:after="156"/>
      </w:pPr>
      <w:r>
        <w:rPr>
          <w:rFonts w:hint="eastAsia"/>
        </w:rPr>
        <w:t>单日太阳能保证率</w:t>
      </w:r>
    </w:p>
    <w:p>
      <w:pPr>
        <w:pStyle w:val="58"/>
        <w:ind w:firstLine="420"/>
      </w:pPr>
      <w:r>
        <w:rPr>
          <w:rFonts w:hint="eastAsia"/>
        </w:rPr>
        <w:t>单日太阳能保证率计算公式按公式（D.8）计算：</w:t>
      </w:r>
    </w:p>
    <w:p>
      <w:pPr>
        <w:pStyle w:val="115"/>
      </w:pPr>
      <w:r>
        <w:tab/>
      </w:r>
      <w:r>
        <w:rPr>
          <w:rFonts w:ascii="Times New Roman" w:eastAsia="黑体"/>
          <w:position w:val="-32"/>
        </w:rPr>
        <w:object>
          <v:shape id="_x0000_i1037" o:spt="75" type="#_x0000_t75" style="height:37.5pt;width:58.5pt;" o:ole="t" filled="f" o:preferrelative="t" stroked="f" coordsize="21600,21600">
            <v:path/>
            <v:fill on="f" focussize="0,0"/>
            <v:stroke on="f" joinstyle="miter"/>
            <v:imagedata r:id="rId70" o:title=""/>
            <o:lock v:ext="edit" aspectratio="t"/>
            <w10:wrap type="none"/>
            <w10:anchorlock/>
          </v:shape>
          <o:OLEObject Type="Embed" ProgID="Equation.DSMT4" ShapeID="_x0000_i1037" DrawAspect="Content" ObjectID="_1468075737" r:id="rId69">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8</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f</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单日太阳能保证率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Q</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太阳能集热器集热量，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kern w:val="0"/>
          <w:szCs w:val="20"/>
        </w:rPr>
        <w:t>E</w:t>
      </w:r>
      <w:r>
        <w:rPr>
          <w:rFonts w:hint="eastAsia" w:ascii="宋体" w:hAnsi="宋体"/>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系统所有设备消耗电量，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pStyle w:val="83"/>
        <w:spacing w:before="156" w:after="156"/>
      </w:pPr>
      <w:r>
        <w:rPr>
          <w:rFonts w:hint="eastAsia"/>
        </w:rPr>
        <w:t>全年太阳能保证率</w:t>
      </w:r>
    </w:p>
    <w:p>
      <w:pPr>
        <w:pStyle w:val="58"/>
        <w:ind w:firstLine="420"/>
      </w:pPr>
      <w:r>
        <w:rPr>
          <w:rFonts w:hint="eastAsia"/>
        </w:rPr>
        <w:t>全年太阳能保证率按公式（D.9）计算：</w:t>
      </w:r>
    </w:p>
    <w:p>
      <w:pPr>
        <w:pStyle w:val="115"/>
      </w:pPr>
      <w:r>
        <w:tab/>
      </w:r>
      <w:r>
        <w:rPr>
          <w:rFonts w:ascii="Times New Roman" w:eastAsia="黑体"/>
          <w:position w:val="-30"/>
        </w:rPr>
        <w:object>
          <v:shape id="_x0000_i1038" o:spt="75" type="#_x0000_t75" style="height:34.5pt;width:138pt;" o:ole="t" filled="f" o:preferrelative="t" stroked="f" coordsize="21600,21600">
            <v:path/>
            <v:fill on="f" focussize="0,0"/>
            <v:stroke on="f" joinstyle="miter"/>
            <v:imagedata r:id="rId72" o:title=""/>
            <o:lock v:ext="edit" aspectratio="t"/>
            <w10:wrap type="none"/>
            <w10:anchorlock/>
          </v:shape>
          <o:OLEObject Type="Embed" ProgID="Equation.DSMT4" ShapeID="_x0000_i1038" DrawAspect="Content" ObjectID="_1468075738" r:id="rId71">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9</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f</w:t>
      </w:r>
      <w:r>
        <w:rPr>
          <w:rFonts w:ascii="宋体" w:hAnsi="宋体"/>
          <w:iCs/>
          <w:kern w:val="0"/>
          <w:szCs w:val="20"/>
          <w:vertAlign w:val="subscript"/>
        </w:rPr>
        <w:t xml:space="preserve"> </w:t>
      </w:r>
      <w:r>
        <w:rPr>
          <w:rFonts w:hint="eastAsia" w:ascii="宋体" w:hAnsi="宋体"/>
          <w:kern w:val="0"/>
          <w:szCs w:val="20"/>
        </w:rPr>
        <w:t>—</w:t>
      </w:r>
      <w:r>
        <w:rPr>
          <w:rFonts w:ascii="宋体" w:hAnsi="宋体"/>
          <w:kern w:val="0"/>
          <w:szCs w:val="20"/>
        </w:rPr>
        <w:t>全年太阳能保证率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f</w:t>
      </w:r>
      <w:r>
        <w:rPr>
          <w:rFonts w:ascii="宋体" w:hAnsi="宋体"/>
          <w:iCs/>
          <w:kern w:val="0"/>
          <w:szCs w:val="20"/>
          <w:vertAlign w:val="subscript"/>
        </w:rPr>
        <w:t xml:space="preserve">1 </w:t>
      </w:r>
      <w:r>
        <w:rPr>
          <w:rFonts w:hint="eastAsia" w:ascii="宋体" w:hAnsi="宋体"/>
          <w:kern w:val="0"/>
          <w:szCs w:val="20"/>
        </w:rPr>
        <w:t>—</w:t>
      </w:r>
      <w:r>
        <w:rPr>
          <w:rFonts w:ascii="宋体" w:hAnsi="宋体"/>
          <w:kern w:val="0"/>
          <w:szCs w:val="20"/>
        </w:rPr>
        <w:t>当日太阳辐照量小于8MJ/m</w:t>
      </w:r>
      <w:r>
        <w:rPr>
          <w:rFonts w:ascii="宋体" w:hAnsi="宋体"/>
          <w:kern w:val="0"/>
          <w:szCs w:val="20"/>
          <w:vertAlign w:val="superscript"/>
        </w:rPr>
        <w:t>2</w:t>
      </w:r>
      <w:r>
        <w:rPr>
          <w:rFonts w:ascii="宋体" w:hAnsi="宋体"/>
          <w:kern w:val="0"/>
          <w:szCs w:val="20"/>
        </w:rPr>
        <w:t>的太阳能保证率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f</w:t>
      </w:r>
      <w:r>
        <w:rPr>
          <w:rFonts w:ascii="宋体" w:hAnsi="宋体"/>
          <w:iCs/>
          <w:kern w:val="0"/>
          <w:szCs w:val="20"/>
          <w:vertAlign w:val="subscript"/>
        </w:rPr>
        <w:t>2</w:t>
      </w:r>
      <w:r>
        <w:rPr>
          <w:rFonts w:hint="eastAsia" w:ascii="宋体" w:hAnsi="宋体"/>
          <w:kern w:val="0"/>
          <w:szCs w:val="20"/>
        </w:rPr>
        <w:t>—</w:t>
      </w:r>
      <w:r>
        <w:rPr>
          <w:rFonts w:ascii="宋体" w:hAnsi="宋体"/>
          <w:kern w:val="0"/>
          <w:szCs w:val="20"/>
        </w:rPr>
        <w:t>当日太阳辐照量小于13MJ/m</w:t>
      </w:r>
      <w:r>
        <w:rPr>
          <w:rFonts w:ascii="宋体" w:hAnsi="宋体"/>
          <w:kern w:val="0"/>
          <w:szCs w:val="20"/>
          <w:vertAlign w:val="superscript"/>
        </w:rPr>
        <w:t>2</w:t>
      </w:r>
      <w:r>
        <w:rPr>
          <w:rFonts w:ascii="宋体" w:hAnsi="宋体"/>
          <w:kern w:val="0"/>
          <w:szCs w:val="20"/>
        </w:rPr>
        <w:t>且大于等于8MJ/m</w:t>
      </w:r>
      <w:r>
        <w:rPr>
          <w:rFonts w:ascii="宋体" w:hAnsi="宋体"/>
          <w:kern w:val="0"/>
          <w:szCs w:val="20"/>
          <w:vertAlign w:val="superscript"/>
        </w:rPr>
        <w:t>2</w:t>
      </w:r>
      <w:r>
        <w:rPr>
          <w:rFonts w:ascii="宋体" w:hAnsi="宋体"/>
          <w:kern w:val="0"/>
          <w:szCs w:val="20"/>
        </w:rPr>
        <w:t>的太阳能保证率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f</w:t>
      </w:r>
      <w:r>
        <w:rPr>
          <w:rFonts w:ascii="宋体" w:hAnsi="宋体"/>
          <w:iCs/>
          <w:kern w:val="0"/>
          <w:szCs w:val="20"/>
          <w:vertAlign w:val="subscript"/>
        </w:rPr>
        <w:t>3</w:t>
      </w:r>
      <w:r>
        <w:rPr>
          <w:rFonts w:hint="eastAsia" w:ascii="宋体" w:hAnsi="宋体"/>
          <w:kern w:val="0"/>
          <w:szCs w:val="20"/>
        </w:rPr>
        <w:t>—</w:t>
      </w:r>
      <w:r>
        <w:rPr>
          <w:rFonts w:ascii="宋体" w:hAnsi="宋体"/>
          <w:kern w:val="0"/>
          <w:szCs w:val="20"/>
        </w:rPr>
        <w:t>当日太阳辐照量小于18MJ/m</w:t>
      </w:r>
      <w:r>
        <w:rPr>
          <w:rFonts w:ascii="宋体" w:hAnsi="宋体"/>
          <w:kern w:val="0"/>
          <w:szCs w:val="20"/>
          <w:vertAlign w:val="superscript"/>
        </w:rPr>
        <w:t>2</w:t>
      </w:r>
      <w:r>
        <w:rPr>
          <w:rFonts w:ascii="宋体" w:hAnsi="宋体"/>
          <w:kern w:val="0"/>
          <w:szCs w:val="20"/>
        </w:rPr>
        <w:t>且大于等于13MJ/m</w:t>
      </w:r>
      <w:r>
        <w:rPr>
          <w:rFonts w:ascii="宋体" w:hAnsi="宋体"/>
          <w:kern w:val="0"/>
          <w:szCs w:val="20"/>
          <w:vertAlign w:val="superscript"/>
        </w:rPr>
        <w:t>2</w:t>
      </w:r>
      <w:r>
        <w:rPr>
          <w:rFonts w:ascii="宋体" w:hAnsi="宋体"/>
          <w:kern w:val="0"/>
          <w:szCs w:val="20"/>
        </w:rPr>
        <w:t>的太阳能保证率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Cs/>
          <w:kern w:val="0"/>
          <w:szCs w:val="20"/>
        </w:rPr>
        <w:t>f</w:t>
      </w:r>
      <w:r>
        <w:rPr>
          <w:rFonts w:ascii="宋体" w:hAnsi="宋体"/>
          <w:iCs/>
          <w:kern w:val="0"/>
          <w:szCs w:val="20"/>
          <w:vertAlign w:val="subscript"/>
        </w:rPr>
        <w:t>4</w:t>
      </w:r>
      <w:r>
        <w:rPr>
          <w:rFonts w:hint="eastAsia" w:ascii="宋体" w:hAnsi="宋体"/>
          <w:kern w:val="0"/>
          <w:szCs w:val="20"/>
        </w:rPr>
        <w:t>—</w:t>
      </w:r>
      <w:r>
        <w:rPr>
          <w:rFonts w:ascii="宋体" w:hAnsi="宋体"/>
          <w:kern w:val="0"/>
          <w:szCs w:val="20"/>
        </w:rPr>
        <w:t>当日太阳辐照量大于等于18MJ/m</w:t>
      </w:r>
      <w:r>
        <w:rPr>
          <w:rFonts w:ascii="宋体" w:hAnsi="宋体"/>
          <w:kern w:val="0"/>
          <w:szCs w:val="20"/>
          <w:vertAlign w:val="superscript"/>
        </w:rPr>
        <w:t>2</w:t>
      </w:r>
      <w:r>
        <w:rPr>
          <w:rFonts w:ascii="宋体" w:hAnsi="宋体"/>
          <w:kern w:val="0"/>
          <w:szCs w:val="20"/>
        </w:rPr>
        <w:t>的太阳能保证率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Cs/>
          <w:kern w:val="0"/>
          <w:szCs w:val="20"/>
        </w:rPr>
        <w:t>x</w:t>
      </w:r>
      <w:r>
        <w:rPr>
          <w:rFonts w:ascii="宋体" w:hAnsi="宋体"/>
          <w:iCs/>
          <w:kern w:val="0"/>
          <w:szCs w:val="20"/>
          <w:vertAlign w:val="subscript"/>
        </w:rPr>
        <w:t>1</w:t>
      </w:r>
      <w:r>
        <w:rPr>
          <w:rFonts w:hint="eastAsia" w:ascii="宋体" w:hAnsi="宋体"/>
          <w:kern w:val="0"/>
          <w:szCs w:val="20"/>
        </w:rPr>
        <w:t>—</w:t>
      </w:r>
      <w:r>
        <w:rPr>
          <w:rFonts w:ascii="宋体" w:hAnsi="宋体"/>
          <w:kern w:val="0"/>
          <w:szCs w:val="20"/>
        </w:rPr>
        <w:t>全年中当地日太阳辐照量小于8MJ/m</w:t>
      </w:r>
      <w:r>
        <w:rPr>
          <w:rFonts w:ascii="宋体" w:hAnsi="宋体"/>
          <w:kern w:val="0"/>
          <w:szCs w:val="20"/>
          <w:vertAlign w:val="superscript"/>
        </w:rPr>
        <w:t>2</w:t>
      </w:r>
      <w:r>
        <w:rPr>
          <w:rFonts w:ascii="宋体" w:hAnsi="宋体"/>
          <w:kern w:val="0"/>
          <w:szCs w:val="20"/>
        </w:rPr>
        <w:t>的天数，见附录</w:t>
      </w:r>
      <w:r>
        <w:rPr>
          <w:rFonts w:hint="eastAsia" w:ascii="宋体" w:hAnsi="宋体"/>
          <w:kern w:val="0"/>
          <w:szCs w:val="20"/>
        </w:rPr>
        <w:t>C表C.1，单位为天（d）</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Cs/>
          <w:kern w:val="0"/>
          <w:szCs w:val="20"/>
        </w:rPr>
        <w:t>x</w:t>
      </w:r>
      <w:r>
        <w:rPr>
          <w:rFonts w:ascii="宋体" w:hAnsi="宋体"/>
          <w:iCs/>
          <w:kern w:val="0"/>
          <w:szCs w:val="20"/>
          <w:vertAlign w:val="subscript"/>
        </w:rPr>
        <w:t>2</w:t>
      </w:r>
      <w:r>
        <w:rPr>
          <w:rFonts w:hint="eastAsia" w:ascii="宋体" w:hAnsi="宋体"/>
          <w:kern w:val="0"/>
          <w:szCs w:val="20"/>
        </w:rPr>
        <w:t>—</w:t>
      </w:r>
      <w:r>
        <w:rPr>
          <w:rFonts w:ascii="宋体" w:hAnsi="宋体"/>
          <w:kern w:val="0"/>
          <w:szCs w:val="20"/>
        </w:rPr>
        <w:t>全年中当地日太阳辐照量小于13MJ/m</w:t>
      </w:r>
      <w:r>
        <w:rPr>
          <w:rFonts w:ascii="宋体" w:hAnsi="宋体"/>
          <w:kern w:val="0"/>
          <w:szCs w:val="20"/>
          <w:vertAlign w:val="superscript"/>
        </w:rPr>
        <w:t>2</w:t>
      </w:r>
      <w:r>
        <w:rPr>
          <w:rFonts w:ascii="宋体" w:hAnsi="宋体"/>
          <w:kern w:val="0"/>
          <w:szCs w:val="20"/>
        </w:rPr>
        <w:t>且大于等于8MJ/m</w:t>
      </w:r>
      <w:r>
        <w:rPr>
          <w:rFonts w:ascii="宋体" w:hAnsi="宋体"/>
          <w:kern w:val="0"/>
          <w:szCs w:val="20"/>
          <w:vertAlign w:val="superscript"/>
        </w:rPr>
        <w:t>2</w:t>
      </w:r>
      <w:r>
        <w:rPr>
          <w:rFonts w:ascii="宋体" w:hAnsi="宋体"/>
          <w:kern w:val="0"/>
          <w:szCs w:val="20"/>
        </w:rPr>
        <w:t>的天数，见附录</w:t>
      </w:r>
      <w:r>
        <w:rPr>
          <w:rFonts w:hint="eastAsia" w:ascii="宋体" w:hAnsi="宋体"/>
          <w:kern w:val="0"/>
          <w:szCs w:val="20"/>
        </w:rPr>
        <w:t>C表C.1，单位为天（d）</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Cs/>
          <w:kern w:val="0"/>
          <w:szCs w:val="20"/>
        </w:rPr>
        <w:t>x</w:t>
      </w:r>
      <w:r>
        <w:rPr>
          <w:rFonts w:ascii="宋体" w:hAnsi="宋体"/>
          <w:iCs/>
          <w:kern w:val="0"/>
          <w:szCs w:val="20"/>
          <w:vertAlign w:val="subscript"/>
        </w:rPr>
        <w:t>3</w:t>
      </w:r>
      <w:r>
        <w:rPr>
          <w:rFonts w:hint="eastAsia" w:ascii="宋体" w:hAnsi="宋体"/>
          <w:kern w:val="0"/>
          <w:szCs w:val="20"/>
        </w:rPr>
        <w:t>—</w:t>
      </w:r>
      <w:r>
        <w:rPr>
          <w:rFonts w:ascii="宋体" w:hAnsi="宋体"/>
          <w:kern w:val="0"/>
          <w:szCs w:val="20"/>
        </w:rPr>
        <w:t>全年中当地日太阳辐照量小于18MJ/m</w:t>
      </w:r>
      <w:r>
        <w:rPr>
          <w:rFonts w:ascii="宋体" w:hAnsi="宋体"/>
          <w:kern w:val="0"/>
          <w:szCs w:val="20"/>
          <w:vertAlign w:val="superscript"/>
        </w:rPr>
        <w:t>2</w:t>
      </w:r>
      <w:r>
        <w:rPr>
          <w:rFonts w:ascii="宋体" w:hAnsi="宋体"/>
          <w:kern w:val="0"/>
          <w:szCs w:val="20"/>
        </w:rPr>
        <w:t>且大于等于13MJ/m</w:t>
      </w:r>
      <w:r>
        <w:rPr>
          <w:rFonts w:ascii="宋体" w:hAnsi="宋体"/>
          <w:kern w:val="0"/>
          <w:szCs w:val="20"/>
          <w:vertAlign w:val="superscript"/>
        </w:rPr>
        <w:t>2</w:t>
      </w:r>
      <w:r>
        <w:rPr>
          <w:rFonts w:ascii="宋体" w:hAnsi="宋体"/>
          <w:kern w:val="0"/>
          <w:szCs w:val="20"/>
        </w:rPr>
        <w:t>的天数，见附录</w:t>
      </w:r>
      <w:r>
        <w:rPr>
          <w:rFonts w:hint="eastAsia" w:ascii="宋体" w:hAnsi="宋体"/>
          <w:kern w:val="0"/>
          <w:szCs w:val="20"/>
        </w:rPr>
        <w:t>C表C.1，单位为天（d）</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Cs/>
          <w:kern w:val="0"/>
          <w:szCs w:val="20"/>
        </w:rPr>
        <w:t>x</w:t>
      </w:r>
      <w:r>
        <w:rPr>
          <w:rFonts w:ascii="宋体" w:hAnsi="宋体"/>
          <w:iCs/>
          <w:kern w:val="0"/>
          <w:szCs w:val="20"/>
          <w:vertAlign w:val="subscript"/>
        </w:rPr>
        <w:t>4</w:t>
      </w:r>
      <w:r>
        <w:rPr>
          <w:rFonts w:hint="eastAsia" w:ascii="宋体" w:hAnsi="宋体"/>
          <w:kern w:val="0"/>
          <w:szCs w:val="20"/>
        </w:rPr>
        <w:t>—</w:t>
      </w:r>
      <w:r>
        <w:rPr>
          <w:rFonts w:ascii="宋体" w:hAnsi="宋体"/>
          <w:kern w:val="0"/>
          <w:szCs w:val="20"/>
        </w:rPr>
        <w:t>全年中当地日太阳辐照量大于等于18MJ/m</w:t>
      </w:r>
      <w:r>
        <w:rPr>
          <w:rFonts w:ascii="宋体" w:hAnsi="宋体"/>
          <w:kern w:val="0"/>
          <w:szCs w:val="20"/>
          <w:vertAlign w:val="superscript"/>
        </w:rPr>
        <w:t>2</w:t>
      </w:r>
      <w:r>
        <w:rPr>
          <w:rFonts w:ascii="宋体" w:hAnsi="宋体"/>
          <w:kern w:val="0"/>
          <w:szCs w:val="20"/>
        </w:rPr>
        <w:t>的天数，见附录</w:t>
      </w:r>
      <w:r>
        <w:rPr>
          <w:rFonts w:hint="eastAsia" w:ascii="宋体" w:hAnsi="宋体"/>
          <w:kern w:val="0"/>
          <w:szCs w:val="20"/>
        </w:rPr>
        <w:t>C表C.1，单位为天（d）</w:t>
      </w:r>
      <w:r>
        <w:rPr>
          <w:rFonts w:ascii="宋体" w:hAnsi="宋体"/>
          <w:kern w:val="0"/>
          <w:szCs w:val="20"/>
        </w:rPr>
        <w:t>。</w:t>
      </w:r>
    </w:p>
    <w:p>
      <w:pPr>
        <w:pStyle w:val="81"/>
        <w:spacing w:before="156" w:after="156"/>
        <w:ind w:left="0"/>
      </w:pPr>
      <w:r>
        <w:rPr>
          <w:rFonts w:hint="eastAsia"/>
        </w:rPr>
        <w:t>中温太阳能空调系统制冷系数</w:t>
      </w:r>
    </w:p>
    <w:p>
      <w:pPr>
        <w:pStyle w:val="58"/>
        <w:ind w:firstLine="420"/>
      </w:pPr>
      <w:r>
        <w:rPr>
          <w:rFonts w:hint="eastAsia"/>
        </w:rPr>
        <w:t>针对不同太阳辐照区间，中温太阳能空调系统的制冷量测试应保持与集热器集热量测试为同一日，按公式（D.10）计算：</w:t>
      </w:r>
    </w:p>
    <w:p>
      <w:pPr>
        <w:pStyle w:val="115"/>
      </w:pPr>
      <w:r>
        <w:tab/>
      </w:r>
      <w:r>
        <w:rPr>
          <w:rFonts w:hint="eastAsia" w:eastAsiaTheme="minorEastAsia"/>
          <w:color w:val="0000FF"/>
          <w:position w:val="-32"/>
        </w:rPr>
        <w:object>
          <v:shape id="_x0000_i1039" o:spt="75" type="#_x0000_t75" style="height:35.25pt;width:78.75pt;" o:ole="t" filled="f" o:preferrelative="t" stroked="f" coordsize="21600,21600">
            <v:path/>
            <v:fill on="f" focussize="0,0"/>
            <v:stroke on="f" joinstyle="miter"/>
            <v:imagedata r:id="rId74" o:title=""/>
            <o:lock v:ext="edit" aspectratio="t"/>
            <w10:wrap type="none"/>
            <w10:anchorlock/>
          </v:shape>
          <o:OLEObject Type="Embed" ProgID="Equation.3" ShapeID="_x0000_i1039" DrawAspect="Content" ObjectID="_1468075739" r:id="rId73">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10</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COP</w:t>
      </w:r>
      <w:r>
        <w:rPr>
          <w:rFonts w:ascii="宋体" w:hAnsi="宋体"/>
          <w:i/>
          <w:iCs/>
          <w:kern w:val="0"/>
          <w:szCs w:val="20"/>
          <w:vertAlign w:val="subscript"/>
        </w:rPr>
        <w:t>c</w:t>
      </w:r>
      <w:r>
        <w:rPr>
          <w:rFonts w:hint="eastAsia" w:ascii="宋体" w:hAnsi="宋体"/>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系统制冷系数</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制冷量，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太阳能集热器集热量，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rPr>
          <w:rFonts w:ascii="宋体" w:hAnsi="宋体"/>
          <w:kern w:val="0"/>
          <w:szCs w:val="20"/>
        </w:rPr>
      </w:pPr>
      <w:r>
        <w:rPr>
          <w:rFonts w:ascii="宋体" w:hAnsi="宋体"/>
          <w:i/>
          <w:iCs/>
          <w:kern w:val="0"/>
          <w:szCs w:val="20"/>
        </w:rPr>
        <w:t>η</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太阳能集热系统集热效率</w:t>
      </w:r>
      <w:r>
        <w:rPr>
          <w:rFonts w:hint="eastAsia" w:ascii="宋体" w:hAnsi="宋体"/>
          <w:kern w:val="0"/>
          <w:szCs w:val="20"/>
        </w:rPr>
        <w:t>，无量纲</w:t>
      </w:r>
      <w:r>
        <w:rPr>
          <w:rFonts w:ascii="宋体" w:hAnsi="宋体"/>
          <w:kern w:val="0"/>
          <w:szCs w:val="20"/>
        </w:rPr>
        <w:t>。</w:t>
      </w:r>
    </w:p>
    <w:p>
      <w:pPr>
        <w:pStyle w:val="81"/>
        <w:spacing w:before="156" w:after="156"/>
        <w:ind w:left="0"/>
      </w:pPr>
      <w:r>
        <w:rPr>
          <w:rFonts w:hint="eastAsia"/>
        </w:rPr>
        <w:t>系统综合性能系数的计算方法</w:t>
      </w:r>
    </w:p>
    <w:p>
      <w:pPr>
        <w:pStyle w:val="58"/>
        <w:ind w:firstLine="420"/>
      </w:pPr>
      <w:r>
        <w:rPr>
          <w:rFonts w:hint="eastAsia"/>
        </w:rPr>
        <w:t>针对不同太阳辐照区间，中温太阳能空调系统的制冷量测试应保持与集热器集热量测试、消耗电量测试为同一日，按公式（D.11）计算：</w:t>
      </w:r>
    </w:p>
    <w:p>
      <w:pPr>
        <w:pStyle w:val="115"/>
      </w:pPr>
      <w:r>
        <w:tab/>
      </w:r>
      <w:r>
        <w:rPr>
          <w:rFonts w:hint="eastAsia" w:eastAsiaTheme="minorEastAsia"/>
          <w:position w:val="-66"/>
        </w:rPr>
        <w:object>
          <v:shape id="_x0000_i1040" o:spt="75" type="#_x0000_t75" style="height:52.9pt;width:78.75pt;" o:ole="t" filled="f" o:preferrelative="t" stroked="f" coordsize="21600,21600">
            <v:path/>
            <v:fill on="f" focussize="0,0"/>
            <v:stroke on="f" joinstyle="miter"/>
            <v:imagedata r:id="rId76" o:title=""/>
            <o:lock v:ext="edit" aspectratio="t"/>
            <w10:wrap type="none"/>
            <w10:anchorlock/>
          </v:shape>
          <o:OLEObject Type="Embed" ProgID="Equation.3" ShapeID="_x0000_i1040" DrawAspect="Content" ObjectID="_1468075740" r:id="rId75">
            <o:LockedField>false</o:LockedField>
          </o:OLEObject>
        </w:object>
      </w:r>
      <w:r>
        <w:rPr>
          <w:rFonts w:ascii="微软雅黑" w:hAnsi="微软雅黑" w:eastAsia="微软雅黑"/>
        </w:rPr>
        <w:tab/>
      </w:r>
      <w:r>
        <w:t>(</w:t>
      </w:r>
      <w:r>
        <w:rPr>
          <w:rFonts w:hint="eastAsia"/>
        </w:rPr>
        <w:t>D</w:t>
      </w:r>
      <w:r>
        <w:t>.</w:t>
      </w:r>
      <w:r>
        <w:fldChar w:fldCharType="begin"/>
      </w:r>
      <w:r>
        <w:instrText xml:space="preserve">  seq fulu_equation_133651405336384868  </w:instrText>
      </w:r>
      <w:r>
        <w:fldChar w:fldCharType="separate"/>
      </w:r>
      <w:r>
        <w:t>11</w:t>
      </w:r>
      <w:r>
        <w:fldChar w:fldCharType="end"/>
      </w:r>
      <w:r>
        <w:t>)</w:t>
      </w:r>
    </w:p>
    <w:p>
      <w:pPr>
        <w:pStyle w:val="57"/>
        <w:spacing w:line="240" w:lineRule="auto"/>
        <w:ind w:firstLine="420"/>
      </w:pPr>
      <w:r>
        <w:rPr>
          <w:rFonts w:hint="eastAsia"/>
        </w:rPr>
        <w:t>式中：</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COP</w:t>
      </w:r>
      <w:r>
        <w:rPr>
          <w:rFonts w:hint="eastAsia" w:ascii="宋体" w:hAnsi="宋体"/>
          <w:i/>
          <w:iCs/>
          <w:kern w:val="0"/>
          <w:szCs w:val="20"/>
          <w:vertAlign w:val="subscript"/>
        </w:rPr>
        <w:t>s</w:t>
      </w:r>
      <w:r>
        <w:rPr>
          <w:rFonts w:hint="eastAsia" w:ascii="宋体" w:hAnsi="宋体"/>
          <w:i/>
          <w:kern w:val="0"/>
          <w:szCs w:val="20"/>
        </w:rPr>
        <w:t>—</w:t>
      </w:r>
      <w:r>
        <w:rPr>
          <w:rFonts w:ascii="宋体" w:hAnsi="宋体"/>
          <w:kern w:val="0"/>
          <w:szCs w:val="20"/>
        </w:rPr>
        <w:t>综合性能系数</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c</w:t>
      </w:r>
      <w:r>
        <w:rPr>
          <w:rFonts w:hint="eastAsia" w:ascii="宋体" w:hAnsi="宋体"/>
          <w:kern w:val="0"/>
          <w:szCs w:val="20"/>
        </w:rPr>
        <w:t>—</w:t>
      </w:r>
      <w:r>
        <w:rPr>
          <w:rFonts w:ascii="宋体" w:hAnsi="宋体"/>
          <w:kern w:val="0"/>
          <w:szCs w:val="20"/>
        </w:rPr>
        <w:t>制冷量，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Q</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太阳能集热器集热量，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iCs/>
          <w:kern w:val="0"/>
          <w:szCs w:val="20"/>
        </w:rPr>
        <w:t>η</w:t>
      </w:r>
      <w:r>
        <w:rPr>
          <w:rFonts w:ascii="宋体" w:hAnsi="宋体"/>
          <w:iCs/>
          <w:kern w:val="0"/>
          <w:szCs w:val="20"/>
          <w:vertAlign w:val="subscript"/>
        </w:rPr>
        <w:t>j</w:t>
      </w:r>
      <w:r>
        <w:rPr>
          <w:rFonts w:hint="eastAsia" w:ascii="宋体" w:hAnsi="宋体"/>
          <w:kern w:val="0"/>
          <w:szCs w:val="20"/>
        </w:rPr>
        <w:t>—</w:t>
      </w:r>
      <w:r>
        <w:rPr>
          <w:rFonts w:ascii="宋体" w:hAnsi="宋体"/>
          <w:kern w:val="0"/>
          <w:szCs w:val="20"/>
        </w:rPr>
        <w:t>太阳能集热系统集热效率</w:t>
      </w:r>
      <w:r>
        <w:rPr>
          <w:rFonts w:hint="eastAsia" w:ascii="宋体" w:hAnsi="宋体"/>
          <w:kern w:val="0"/>
          <w:szCs w:val="20"/>
        </w:rPr>
        <w:t>，无量纲</w:t>
      </w:r>
      <w:r>
        <w:rPr>
          <w:rFonts w:ascii="宋体" w:hAnsi="宋体"/>
          <w:kern w:val="0"/>
          <w:szCs w:val="20"/>
        </w:rPr>
        <w:t>。</w:t>
      </w:r>
    </w:p>
    <w:p>
      <w:pPr>
        <w:widowControl/>
        <w:tabs>
          <w:tab w:val="center" w:pos="4201"/>
          <w:tab w:val="right" w:leader="dot" w:pos="9298"/>
        </w:tabs>
        <w:autoSpaceDE w:val="0"/>
        <w:autoSpaceDN w:val="0"/>
        <w:adjustRightInd/>
        <w:snapToGrid w:val="0"/>
        <w:spacing w:line="240" w:lineRule="auto"/>
        <w:ind w:firstLine="420" w:firstLineChars="200"/>
        <w:jc w:val="left"/>
        <w:rPr>
          <w:rFonts w:ascii="宋体" w:hAnsi="宋体"/>
          <w:kern w:val="0"/>
          <w:szCs w:val="20"/>
        </w:rPr>
      </w:pPr>
      <w:r>
        <w:rPr>
          <w:rFonts w:ascii="宋体" w:hAnsi="宋体"/>
          <w:i/>
          <w:kern w:val="0"/>
          <w:szCs w:val="20"/>
        </w:rPr>
        <w:t>E</w:t>
      </w:r>
      <w:r>
        <w:rPr>
          <w:rFonts w:hint="eastAsia" w:ascii="宋体" w:hAnsi="宋体"/>
          <w:kern w:val="0"/>
          <w:szCs w:val="20"/>
        </w:rPr>
        <w:t>—</w:t>
      </w:r>
      <w:r>
        <w:rPr>
          <w:rFonts w:ascii="宋体" w:hAnsi="宋体"/>
          <w:kern w:val="0"/>
          <w:szCs w:val="20"/>
        </w:rPr>
        <w:t>中温太阳能</w:t>
      </w:r>
      <w:r>
        <w:rPr>
          <w:rFonts w:hint="eastAsia" w:ascii="宋体" w:hAnsi="宋体"/>
          <w:kern w:val="0"/>
          <w:szCs w:val="20"/>
        </w:rPr>
        <w:t>空调</w:t>
      </w:r>
      <w:r>
        <w:rPr>
          <w:rFonts w:ascii="宋体" w:hAnsi="宋体"/>
          <w:kern w:val="0"/>
          <w:szCs w:val="20"/>
        </w:rPr>
        <w:t>系统所有设备消耗电量，</w:t>
      </w:r>
      <w:r>
        <w:rPr>
          <w:rFonts w:hint="eastAsia" w:ascii="宋体" w:hAnsi="宋体"/>
          <w:kern w:val="0"/>
          <w:szCs w:val="20"/>
        </w:rPr>
        <w:t>单位为千焦（</w:t>
      </w:r>
      <w:r>
        <w:rPr>
          <w:rFonts w:ascii="宋体" w:hAnsi="宋体"/>
          <w:kern w:val="0"/>
          <w:szCs w:val="20"/>
        </w:rPr>
        <w:t>kJ</w:t>
      </w:r>
      <w:r>
        <w:rPr>
          <w:rFonts w:hint="eastAsia" w:ascii="宋体" w:hAnsi="宋体"/>
          <w:kern w:val="0"/>
          <w:szCs w:val="20"/>
        </w:rPr>
        <w:t>）</w:t>
      </w:r>
      <w:r>
        <w:rPr>
          <w:rFonts w:ascii="宋体" w:hAnsi="宋体"/>
          <w:kern w:val="0"/>
          <w:szCs w:val="20"/>
        </w:rPr>
        <w:t>。</w:t>
      </w:r>
    </w:p>
    <w:p>
      <w:pPr>
        <w:pStyle w:val="81"/>
        <w:spacing w:before="156" w:after="156"/>
        <w:ind w:left="0"/>
      </w:pPr>
      <w:r>
        <w:rPr>
          <w:rFonts w:hint="eastAsia"/>
        </w:rPr>
        <w:t>实验记录与参数</w:t>
      </w:r>
    </w:p>
    <w:p>
      <w:pPr>
        <w:pStyle w:val="83"/>
        <w:spacing w:before="156" w:after="156"/>
      </w:pPr>
      <w:r>
        <w:rPr>
          <w:rFonts w:hint="eastAsia"/>
        </w:rPr>
        <w:t>太阳能集热系统</w:t>
      </w:r>
    </w:p>
    <w:p>
      <w:pPr>
        <w:pStyle w:val="58"/>
        <w:ind w:firstLine="420"/>
      </w:pPr>
      <w:r>
        <w:rPr>
          <w:rFonts w:hint="eastAsia"/>
        </w:rPr>
        <w:t>不同导热介质下的测试参数。</w:t>
      </w:r>
    </w:p>
    <w:p>
      <w:pPr>
        <w:pStyle w:val="176"/>
        <w:numPr>
          <w:ilvl w:val="0"/>
          <w:numId w:val="45"/>
        </w:numPr>
      </w:pPr>
      <w:r>
        <w:t>使用蒸汽作为集热工质时，</w:t>
      </w:r>
    </w:p>
    <w:p>
      <w:pPr>
        <w:widowControl/>
        <w:numPr>
          <w:ilvl w:val="0"/>
          <w:numId w:val="46"/>
        </w:numPr>
        <w:tabs>
          <w:tab w:val="center" w:pos="4201"/>
          <w:tab w:val="right" w:leader="dot" w:pos="9298"/>
        </w:tabs>
        <w:autoSpaceDE w:val="0"/>
        <w:autoSpaceDN w:val="0"/>
        <w:snapToGrid w:val="0"/>
        <w:spacing w:line="240" w:lineRule="auto"/>
        <w:ind w:firstLine="840" w:firstLineChars="400"/>
        <w:rPr>
          <w:rFonts w:ascii="宋体" w:hAnsi="宋体"/>
          <w:kern w:val="0"/>
          <w:szCs w:val="20"/>
        </w:rPr>
      </w:pPr>
      <w:r>
        <w:rPr>
          <w:rFonts w:ascii="宋体" w:hAnsi="宋体"/>
          <w:kern w:val="0"/>
          <w:szCs w:val="20"/>
        </w:rPr>
        <w:t>蒸汽流量，kg/h；</w:t>
      </w:r>
    </w:p>
    <w:p>
      <w:pPr>
        <w:widowControl/>
        <w:numPr>
          <w:ilvl w:val="0"/>
          <w:numId w:val="46"/>
        </w:numPr>
        <w:tabs>
          <w:tab w:val="center" w:pos="4201"/>
          <w:tab w:val="right" w:leader="dot" w:pos="9298"/>
        </w:tabs>
        <w:autoSpaceDE w:val="0"/>
        <w:autoSpaceDN w:val="0"/>
        <w:snapToGrid w:val="0"/>
        <w:spacing w:line="240" w:lineRule="auto"/>
        <w:ind w:firstLine="840" w:firstLineChars="400"/>
        <w:rPr>
          <w:rFonts w:ascii="宋体" w:hAnsi="宋体"/>
          <w:kern w:val="0"/>
          <w:szCs w:val="20"/>
        </w:rPr>
      </w:pPr>
      <w:r>
        <w:rPr>
          <w:rFonts w:ascii="宋体" w:hAnsi="宋体"/>
          <w:kern w:val="0"/>
          <w:szCs w:val="20"/>
        </w:rPr>
        <w:t>进口温度，ºC；</w:t>
      </w:r>
    </w:p>
    <w:p>
      <w:pPr>
        <w:widowControl/>
        <w:numPr>
          <w:ilvl w:val="0"/>
          <w:numId w:val="46"/>
        </w:numPr>
        <w:tabs>
          <w:tab w:val="center" w:pos="4201"/>
          <w:tab w:val="right" w:leader="dot" w:pos="9298"/>
        </w:tabs>
        <w:autoSpaceDE w:val="0"/>
        <w:autoSpaceDN w:val="0"/>
        <w:snapToGrid w:val="0"/>
        <w:spacing w:line="240" w:lineRule="auto"/>
        <w:ind w:firstLine="840" w:firstLineChars="400"/>
        <w:rPr>
          <w:rFonts w:ascii="宋体" w:hAnsi="宋体"/>
          <w:kern w:val="0"/>
          <w:szCs w:val="20"/>
        </w:rPr>
      </w:pPr>
      <w:r>
        <w:rPr>
          <w:rFonts w:ascii="宋体" w:hAnsi="宋体"/>
          <w:kern w:val="0"/>
          <w:szCs w:val="20"/>
        </w:rPr>
        <w:t>出口蒸汽温度，ºC；</w:t>
      </w:r>
    </w:p>
    <w:p>
      <w:pPr>
        <w:widowControl/>
        <w:numPr>
          <w:ilvl w:val="0"/>
          <w:numId w:val="46"/>
        </w:numPr>
        <w:tabs>
          <w:tab w:val="center" w:pos="4201"/>
          <w:tab w:val="right" w:leader="dot" w:pos="9298"/>
        </w:tabs>
        <w:autoSpaceDE w:val="0"/>
        <w:autoSpaceDN w:val="0"/>
        <w:snapToGrid w:val="0"/>
        <w:spacing w:line="240" w:lineRule="auto"/>
        <w:ind w:firstLine="840" w:firstLineChars="400"/>
        <w:rPr>
          <w:rFonts w:ascii="宋体" w:hAnsi="宋体"/>
          <w:kern w:val="0"/>
          <w:szCs w:val="20"/>
        </w:rPr>
      </w:pPr>
      <w:r>
        <w:rPr>
          <w:rFonts w:ascii="宋体" w:hAnsi="宋体"/>
          <w:kern w:val="0"/>
          <w:szCs w:val="20"/>
        </w:rPr>
        <w:t>蒸汽压力，kPa。</w:t>
      </w:r>
    </w:p>
    <w:p>
      <w:pPr>
        <w:pStyle w:val="176"/>
        <w:numPr>
          <w:ilvl w:val="0"/>
          <w:numId w:val="35"/>
        </w:numPr>
      </w:pPr>
      <w:r>
        <w:t>使用热水作为集热工质时，</w:t>
      </w:r>
    </w:p>
    <w:p>
      <w:pPr>
        <w:widowControl/>
        <w:numPr>
          <w:ilvl w:val="0"/>
          <w:numId w:val="47"/>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热水流量，m</w:t>
      </w:r>
      <w:r>
        <w:rPr>
          <w:rFonts w:ascii="宋体" w:hAnsi="宋体"/>
          <w:kern w:val="0"/>
          <w:szCs w:val="20"/>
          <w:vertAlign w:val="superscript"/>
        </w:rPr>
        <w:t>3</w:t>
      </w:r>
      <w:r>
        <w:rPr>
          <w:rFonts w:ascii="宋体" w:hAnsi="宋体"/>
          <w:kern w:val="0"/>
          <w:szCs w:val="20"/>
        </w:rPr>
        <w:t>/h；</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2） </w:t>
      </w:r>
      <w:r>
        <w:rPr>
          <w:rFonts w:ascii="宋体" w:hAnsi="宋体"/>
          <w:kern w:val="0"/>
          <w:szCs w:val="20"/>
        </w:rPr>
        <w:t>热水进口温度，ºC；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3） </w:t>
      </w:r>
      <w:r>
        <w:rPr>
          <w:rFonts w:ascii="宋体" w:hAnsi="宋体"/>
          <w:kern w:val="0"/>
          <w:szCs w:val="20"/>
        </w:rPr>
        <w:t>热水出口温度，ºC；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4） </w:t>
      </w:r>
      <w:r>
        <w:rPr>
          <w:rFonts w:ascii="宋体" w:hAnsi="宋体"/>
          <w:kern w:val="0"/>
          <w:szCs w:val="20"/>
        </w:rPr>
        <w:t>热水的比热容，kJ/kg·ºC；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5） </w:t>
      </w:r>
      <w:r>
        <w:rPr>
          <w:rFonts w:ascii="宋体" w:hAnsi="宋体"/>
          <w:kern w:val="0"/>
          <w:szCs w:val="20"/>
        </w:rPr>
        <w:t>热水的密度，kg/m</w:t>
      </w:r>
      <w:r>
        <w:rPr>
          <w:rFonts w:ascii="宋体" w:hAnsi="宋体"/>
          <w:kern w:val="0"/>
          <w:szCs w:val="20"/>
          <w:vertAlign w:val="superscript"/>
        </w:rPr>
        <w:t>3</w:t>
      </w:r>
      <w:r>
        <w:rPr>
          <w:rFonts w:ascii="宋体" w:hAnsi="宋体"/>
          <w:kern w:val="0"/>
          <w:szCs w:val="20"/>
        </w:rPr>
        <w:t>。</w:t>
      </w:r>
    </w:p>
    <w:p>
      <w:pPr>
        <w:pStyle w:val="176"/>
        <w:numPr>
          <w:ilvl w:val="0"/>
          <w:numId w:val="35"/>
        </w:numPr>
      </w:pPr>
      <w:r>
        <w:t>使用导热油作为集热工质时，</w:t>
      </w:r>
    </w:p>
    <w:p>
      <w:pPr>
        <w:widowControl/>
        <w:numPr>
          <w:ilvl w:val="0"/>
          <w:numId w:val="48"/>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导热油流量，m</w:t>
      </w:r>
      <w:r>
        <w:rPr>
          <w:rFonts w:ascii="宋体" w:hAnsi="宋体"/>
          <w:kern w:val="0"/>
          <w:szCs w:val="20"/>
          <w:vertAlign w:val="superscript"/>
        </w:rPr>
        <w:t>3</w:t>
      </w:r>
      <w:r>
        <w:rPr>
          <w:rFonts w:ascii="宋体" w:hAnsi="宋体"/>
          <w:kern w:val="0"/>
          <w:szCs w:val="20"/>
        </w:rPr>
        <w:t>/h；</w:t>
      </w:r>
    </w:p>
    <w:p>
      <w:pPr>
        <w:widowControl/>
        <w:numPr>
          <w:ilvl w:val="0"/>
          <w:numId w:val="48"/>
        </w:numPr>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ascii="宋体" w:hAnsi="宋体"/>
          <w:kern w:val="0"/>
          <w:szCs w:val="20"/>
        </w:rPr>
        <w:t>导热油进口温度，ºC；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3） </w:t>
      </w:r>
      <w:r>
        <w:rPr>
          <w:rFonts w:ascii="宋体" w:hAnsi="宋体"/>
          <w:kern w:val="0"/>
          <w:szCs w:val="20"/>
        </w:rPr>
        <w:t>导热油出口温度，ºC；</w:t>
      </w:r>
    </w:p>
    <w:p>
      <w:pPr>
        <w:widowControl/>
        <w:tabs>
          <w:tab w:val="center" w:pos="4201"/>
          <w:tab w:val="right" w:leader="dot" w:pos="9298"/>
        </w:tabs>
        <w:autoSpaceDE w:val="0"/>
        <w:autoSpaceDN w:val="0"/>
        <w:adjustRightInd/>
        <w:snapToGrid w:val="0"/>
        <w:spacing w:line="240" w:lineRule="auto"/>
        <w:ind w:left="840" w:leftChars="400"/>
        <w:rPr>
          <w:rFonts w:ascii="宋体" w:hAnsi="宋体"/>
          <w:kern w:val="0"/>
          <w:szCs w:val="20"/>
        </w:rPr>
      </w:pPr>
      <w:r>
        <w:rPr>
          <w:rFonts w:hint="eastAsia" w:ascii="宋体" w:hAnsi="宋体"/>
          <w:kern w:val="0"/>
          <w:szCs w:val="20"/>
        </w:rPr>
        <w:t>4） 导热油特性参数见附录A。</w:t>
      </w:r>
    </w:p>
    <w:p>
      <w:pPr>
        <w:pStyle w:val="83"/>
        <w:spacing w:before="156" w:after="156"/>
      </w:pPr>
      <w:r>
        <w:rPr>
          <w:rFonts w:hint="eastAsia"/>
        </w:rPr>
        <w:t>制冷机组蒸发器</w:t>
      </w:r>
    </w:p>
    <w:p>
      <w:pPr>
        <w:pStyle w:val="58"/>
        <w:ind w:firstLine="420"/>
      </w:pPr>
      <w:r>
        <w:rPr>
          <w:rFonts w:hint="eastAsia"/>
        </w:rPr>
        <w:t>不同载冷介质下的测试参数。</w:t>
      </w:r>
    </w:p>
    <w:p>
      <w:pPr>
        <w:pStyle w:val="176"/>
        <w:numPr>
          <w:ilvl w:val="0"/>
          <w:numId w:val="49"/>
        </w:numPr>
      </w:pPr>
      <w:r>
        <w:t>使用载冷剂作为冷量载体时，</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1） </w:t>
      </w:r>
      <w:r>
        <w:rPr>
          <w:rFonts w:ascii="宋体" w:hAnsi="宋体"/>
          <w:kern w:val="0"/>
          <w:szCs w:val="20"/>
        </w:rPr>
        <w:t>载冷剂进口温度，ºC；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2） </w:t>
      </w:r>
      <w:r>
        <w:rPr>
          <w:rFonts w:ascii="宋体" w:hAnsi="宋体"/>
          <w:kern w:val="0"/>
          <w:szCs w:val="20"/>
        </w:rPr>
        <w:t>载冷剂出口温度，ºC；</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3） </w:t>
      </w:r>
      <w:r>
        <w:rPr>
          <w:rFonts w:ascii="宋体" w:hAnsi="宋体"/>
          <w:kern w:val="0"/>
          <w:szCs w:val="20"/>
        </w:rPr>
        <w:t>载冷剂流量，m</w:t>
      </w:r>
      <w:r>
        <w:rPr>
          <w:rFonts w:ascii="宋体" w:hAnsi="宋体"/>
          <w:kern w:val="0"/>
          <w:szCs w:val="20"/>
          <w:vertAlign w:val="superscript"/>
        </w:rPr>
        <w:t>3</w:t>
      </w:r>
      <w:r>
        <w:rPr>
          <w:rFonts w:ascii="宋体" w:hAnsi="宋体"/>
          <w:kern w:val="0"/>
          <w:szCs w:val="20"/>
        </w:rPr>
        <w:t>/h。</w:t>
      </w:r>
    </w:p>
    <w:p>
      <w:pPr>
        <w:pStyle w:val="176"/>
        <w:numPr>
          <w:ilvl w:val="0"/>
          <w:numId w:val="35"/>
        </w:numPr>
      </w:pPr>
      <w:r>
        <w:t>使用处理空气作为冷量载体时，</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1） </w:t>
      </w:r>
      <w:r>
        <w:rPr>
          <w:rFonts w:ascii="宋体" w:hAnsi="宋体"/>
          <w:kern w:val="0"/>
          <w:szCs w:val="20"/>
        </w:rPr>
        <w:t>空气流速，m/s；</w:t>
      </w:r>
    </w:p>
    <w:p>
      <w:pPr>
        <w:widowControl/>
        <w:tabs>
          <w:tab w:val="center" w:pos="4201"/>
          <w:tab w:val="right" w:leader="dot" w:pos="9298"/>
        </w:tabs>
        <w:autoSpaceDE w:val="0"/>
        <w:autoSpaceDN w:val="0"/>
        <w:adjustRightInd/>
        <w:snapToGrid w:val="0"/>
        <w:spacing w:line="240" w:lineRule="auto"/>
        <w:ind w:firstLine="840" w:firstLineChars="400"/>
        <w:rPr>
          <w:rFonts w:ascii="宋体" w:hAnsi="宋体"/>
          <w:kern w:val="0"/>
          <w:szCs w:val="20"/>
        </w:rPr>
      </w:pPr>
      <w:r>
        <w:rPr>
          <w:rFonts w:hint="eastAsia" w:ascii="宋体" w:hAnsi="宋体"/>
          <w:kern w:val="0"/>
          <w:szCs w:val="20"/>
        </w:rPr>
        <w:t xml:space="preserve">2） </w:t>
      </w:r>
      <w:r>
        <w:rPr>
          <w:rFonts w:ascii="宋体" w:hAnsi="宋体"/>
          <w:kern w:val="0"/>
          <w:szCs w:val="20"/>
        </w:rPr>
        <w:t>相对湿度，%RH。</w:t>
      </w:r>
    </w:p>
    <w:p>
      <w:pPr>
        <w:pStyle w:val="83"/>
        <w:spacing w:before="156" w:after="156"/>
      </w:pPr>
      <w:r>
        <w:rPr>
          <w:rFonts w:hint="eastAsia"/>
        </w:rPr>
        <w:t>其他记录</w:t>
      </w:r>
    </w:p>
    <w:p>
      <w:pPr>
        <w:pStyle w:val="58"/>
        <w:spacing w:before="156" w:after="156"/>
        <w:ind w:firstLine="420"/>
      </w:pPr>
      <w:r>
        <w:rPr>
          <w:rFonts w:hint="eastAsia"/>
        </w:rPr>
        <w:t>太阳能集热器、制冷设备标牌记录的项目以及试验环境温度、气压，试验地点，试验日期和试验人员。</w:t>
      </w:r>
    </w:p>
    <w:p>
      <w:pPr>
        <w:pStyle w:val="58"/>
        <w:ind w:firstLine="420"/>
      </w:pPr>
    </w:p>
    <w:p>
      <w:pPr>
        <w:pStyle w:val="58"/>
        <w:ind w:firstLine="420"/>
      </w:pPr>
    </w:p>
    <w:p>
      <w:pPr>
        <w:pStyle w:val="58"/>
        <w:ind w:firstLine="420"/>
      </w:pPr>
    </w:p>
    <w:p>
      <w:pPr>
        <w:pStyle w:val="234"/>
        <w:framePr w:hSpace="0" w:vSpace="0" w:wrap="auto" w:vAnchor="margin" w:hAnchor="text" w:xAlign="left" w:yAlign="inline"/>
      </w:pPr>
    </w:p>
    <w:bookmarkEnd w:id="148"/>
    <w:p>
      <w:pPr>
        <w:pStyle w:val="234"/>
        <w:framePr w:hSpace="0" w:vSpace="0" w:wrap="auto" w:vAnchor="margin" w:hAnchor="text" w:xAlign="left" w:yAlign="inline"/>
        <w:sectPr>
          <w:headerReference r:id="rId33" w:type="default"/>
          <w:footerReference r:id="rId35" w:type="default"/>
          <w:headerReference r:id="rId34" w:type="even"/>
          <w:footerReference r:id="rId36" w:type="even"/>
          <w:pgSz w:w="11906" w:h="16838"/>
          <w:pgMar w:top="1928" w:right="1134" w:bottom="1134" w:left="1134" w:header="1418" w:footer="1134" w:gutter="284"/>
          <w:cols w:space="425" w:num="1"/>
          <w:formProt w:val="0"/>
          <w:docGrid w:type="lines" w:linePitch="312" w:charSpace="0"/>
        </w:sectPr>
      </w:pPr>
      <w:bookmarkStart w:id="180" w:name="BookMark6"/>
    </w:p>
    <w:p>
      <w:pPr>
        <w:pStyle w:val="65"/>
        <w:spacing w:after="156"/>
      </w:pPr>
      <w:bookmarkStart w:id="181" w:name="_Toc16488"/>
      <w:bookmarkStart w:id="182" w:name="_Toc178339530"/>
      <w:bookmarkStart w:id="183" w:name="_Toc9147"/>
      <w:bookmarkStart w:id="184" w:name="_Toc178345024"/>
      <w:r>
        <w:rPr>
          <w:rFonts w:hint="eastAsia"/>
          <w:spacing w:val="105"/>
        </w:rPr>
        <w:t>参考文</w:t>
      </w:r>
      <w:r>
        <w:rPr>
          <w:rFonts w:hint="eastAsia"/>
        </w:rPr>
        <w:t>献</w:t>
      </w:r>
      <w:bookmarkEnd w:id="181"/>
      <w:bookmarkEnd w:id="182"/>
      <w:bookmarkEnd w:id="183"/>
      <w:bookmarkEnd w:id="184"/>
    </w:p>
    <w:p>
      <w:pPr>
        <w:pStyle w:val="58"/>
        <w:ind w:firstLine="0" w:firstLineChars="0"/>
      </w:pPr>
    </w:p>
    <w:p>
      <w:pPr>
        <w:pStyle w:val="58"/>
        <w:ind w:firstLine="420"/>
      </w:pPr>
      <w:r>
        <w:rPr>
          <w:rFonts w:hint="eastAsia"/>
        </w:rPr>
        <w:t xml:space="preserve">[1]  GB/T 50801 可再生能源建筑应用工程评价标准 </w:t>
      </w:r>
    </w:p>
    <w:p>
      <w:pPr>
        <w:pStyle w:val="58"/>
        <w:ind w:firstLine="420"/>
      </w:pPr>
    </w:p>
    <w:bookmarkEnd w:id="180"/>
    <w:p>
      <w:pPr>
        <w:pStyle w:val="58"/>
        <w:ind w:firstLine="0" w:firstLineChars="0"/>
        <w:jc w:val="center"/>
      </w:pPr>
      <w:bookmarkStart w:id="185" w:name="BookMark8"/>
      <w:r>
        <w:drawing>
          <wp:inline distT="0" distB="0" distL="0" distR="0">
            <wp:extent cx="1485900" cy="317500"/>
            <wp:effectExtent l="0" t="0" r="0" b="635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77" cstate="print"/>
                    <a:stretch>
                      <a:fillRect/>
                    </a:stretch>
                  </pic:blipFill>
                  <pic:spPr>
                    <a:xfrm>
                      <a:off x="0" y="0"/>
                      <a:ext cx="1485900" cy="317500"/>
                    </a:xfrm>
                    <a:prstGeom prst="rect">
                      <a:avLst/>
                    </a:prstGeom>
                  </pic:spPr>
                </pic:pic>
              </a:graphicData>
            </a:graphic>
          </wp:inline>
        </w:drawing>
      </w:r>
      <w:bookmarkEnd w:id="185"/>
    </w:p>
    <w:sectPr>
      <w:headerReference r:id="rId37" w:type="default"/>
      <w:footerReference r:id="rId39" w:type="default"/>
      <w:headerReference r:id="rId38" w:type="even"/>
      <w:footerReference r:id="rId40"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8</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12</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13</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12</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17</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18</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21</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 37/T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0DAF12"/>
    <w:multiLevelType w:val="singleLevel"/>
    <w:tmpl w:val="970DAF12"/>
    <w:lvl w:ilvl="0" w:tentative="0">
      <w:start w:val="1"/>
      <w:numFmt w:val="decimal"/>
      <w:suff w:val="space"/>
      <w:lvlText w:val="%1）"/>
      <w:lvlJc w:val="left"/>
    </w:lvl>
  </w:abstractNum>
  <w:abstractNum w:abstractNumId="1">
    <w:nsid w:val="CBF496D6"/>
    <w:multiLevelType w:val="singleLevel"/>
    <w:tmpl w:val="CBF496D6"/>
    <w:lvl w:ilvl="0" w:tentative="0">
      <w:start w:val="1"/>
      <w:numFmt w:val="decimal"/>
      <w:suff w:val="space"/>
      <w:lvlText w:val="%1）"/>
      <w:lvlJc w:val="left"/>
    </w:lvl>
  </w:abstractNum>
  <w:abstractNum w:abstractNumId="2">
    <w:nsid w:val="FC0D8E2B"/>
    <w:multiLevelType w:val="singleLevel"/>
    <w:tmpl w:val="FC0D8E2B"/>
    <w:lvl w:ilvl="0" w:tentative="0">
      <w:start w:val="1"/>
      <w:numFmt w:val="decimal"/>
      <w:suff w:val="space"/>
      <w:lvlText w:val="%1）"/>
      <w:lvlJc w:val="left"/>
    </w:lvl>
  </w:abstractNum>
  <w:abstractNum w:abstractNumId="3">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2EC1A3"/>
    <w:multiLevelType w:val="singleLevel"/>
    <w:tmpl w:val="1E2EC1A3"/>
    <w:lvl w:ilvl="0" w:tentative="0">
      <w:start w:val="1"/>
      <w:numFmt w:val="decimal"/>
      <w:suff w:val="space"/>
      <w:lvlText w:val="%1）"/>
      <w:lvlJc w:val="left"/>
    </w:lvl>
  </w:abstractNum>
  <w:abstractNum w:abstractNumId="13">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4536"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31"/>
  </w:num>
  <w:num w:numId="3">
    <w:abstractNumId w:val="8"/>
  </w:num>
  <w:num w:numId="4">
    <w:abstractNumId w:val="27"/>
  </w:num>
  <w:num w:numId="5">
    <w:abstractNumId w:val="22"/>
  </w:num>
  <w:num w:numId="6">
    <w:abstractNumId w:val="17"/>
  </w:num>
  <w:num w:numId="7">
    <w:abstractNumId w:val="11"/>
  </w:num>
  <w:num w:numId="8">
    <w:abstractNumId w:val="6"/>
  </w:num>
  <w:num w:numId="9">
    <w:abstractNumId w:val="13"/>
  </w:num>
  <w:num w:numId="10">
    <w:abstractNumId w:val="20"/>
  </w:num>
  <w:num w:numId="11">
    <w:abstractNumId w:val="29"/>
  </w:num>
  <w:num w:numId="12">
    <w:abstractNumId w:val="15"/>
  </w:num>
  <w:num w:numId="13">
    <w:abstractNumId w:val="16"/>
  </w:num>
  <w:num w:numId="14">
    <w:abstractNumId w:val="10"/>
  </w:num>
  <w:num w:numId="15">
    <w:abstractNumId w:val="23"/>
  </w:num>
  <w:num w:numId="16">
    <w:abstractNumId w:val="25"/>
  </w:num>
  <w:num w:numId="17">
    <w:abstractNumId w:val="21"/>
  </w:num>
  <w:num w:numId="18">
    <w:abstractNumId w:val="33"/>
  </w:num>
  <w:num w:numId="19">
    <w:abstractNumId w:val="19"/>
  </w:num>
  <w:num w:numId="20">
    <w:abstractNumId w:val="4"/>
  </w:num>
  <w:num w:numId="21">
    <w:abstractNumId w:val="14"/>
  </w:num>
  <w:num w:numId="22">
    <w:abstractNumId w:val="34"/>
  </w:num>
  <w:num w:numId="23">
    <w:abstractNumId w:val="24"/>
  </w:num>
  <w:num w:numId="24">
    <w:abstractNumId w:val="9"/>
  </w:num>
  <w:num w:numId="25">
    <w:abstractNumId w:val="30"/>
  </w:num>
  <w:num w:numId="26">
    <w:abstractNumId w:val="32"/>
  </w:num>
  <w:num w:numId="27">
    <w:abstractNumId w:val="5"/>
  </w:num>
  <w:num w:numId="28">
    <w:abstractNumId w:val="7"/>
  </w:num>
  <w:num w:numId="29">
    <w:abstractNumId w:val="18"/>
  </w:num>
  <w:num w:numId="30">
    <w:abstractNumId w:val="28"/>
  </w:num>
  <w:num w:numId="31">
    <w:abstractNumId w:val="2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
  </w:num>
  <w:num w:numId="48">
    <w:abstractNumId w:val="1"/>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hideSpellingErrors/>
  <w:hideGrammaticalErrors/>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TZkNDA1ZjZlOGVhZjc4MGE5YjM1YjMyNWRlMjYifQ=="/>
  </w:docVars>
  <w:rsids>
    <w:rsidRoot w:val="00C3083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E04"/>
    <w:rsid w:val="00034616"/>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5F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AB6"/>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2FB0"/>
    <w:rsid w:val="00124E4F"/>
    <w:rsid w:val="00125A81"/>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BE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459"/>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4FF"/>
    <w:rsid w:val="001C2C03"/>
    <w:rsid w:val="001C42F7"/>
    <w:rsid w:val="001C49E5"/>
    <w:rsid w:val="001C680C"/>
    <w:rsid w:val="001C7FEA"/>
    <w:rsid w:val="001D0499"/>
    <w:rsid w:val="001D0BBE"/>
    <w:rsid w:val="001D0ED4"/>
    <w:rsid w:val="001D212F"/>
    <w:rsid w:val="001D29D7"/>
    <w:rsid w:val="001D2DE7"/>
    <w:rsid w:val="001D411C"/>
    <w:rsid w:val="001D61B1"/>
    <w:rsid w:val="001E1B6A"/>
    <w:rsid w:val="001E2484"/>
    <w:rsid w:val="001E3CC4"/>
    <w:rsid w:val="001E4882"/>
    <w:rsid w:val="001E73AB"/>
    <w:rsid w:val="001F092D"/>
    <w:rsid w:val="001F143A"/>
    <w:rsid w:val="001F1605"/>
    <w:rsid w:val="001F2508"/>
    <w:rsid w:val="001F350B"/>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4CAE"/>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60B"/>
    <w:rsid w:val="00267EF4"/>
    <w:rsid w:val="00270CB8"/>
    <w:rsid w:val="00272B08"/>
    <w:rsid w:val="002771AC"/>
    <w:rsid w:val="002779ED"/>
    <w:rsid w:val="00280BA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1BE"/>
    <w:rsid w:val="00313B85"/>
    <w:rsid w:val="00317988"/>
    <w:rsid w:val="003221B4"/>
    <w:rsid w:val="0032258D"/>
    <w:rsid w:val="00322E62"/>
    <w:rsid w:val="00324D13"/>
    <w:rsid w:val="00324D2A"/>
    <w:rsid w:val="00324EDD"/>
    <w:rsid w:val="003331E4"/>
    <w:rsid w:val="00336C64"/>
    <w:rsid w:val="00337162"/>
    <w:rsid w:val="0034194F"/>
    <w:rsid w:val="00344605"/>
    <w:rsid w:val="003471EE"/>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8F5"/>
    <w:rsid w:val="00426DCC"/>
    <w:rsid w:val="00432DAA"/>
    <w:rsid w:val="00434305"/>
    <w:rsid w:val="00435DF7"/>
    <w:rsid w:val="00436D71"/>
    <w:rsid w:val="0044083F"/>
    <w:rsid w:val="00441AE7"/>
    <w:rsid w:val="004450CF"/>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267"/>
    <w:rsid w:val="00484936"/>
    <w:rsid w:val="00485C89"/>
    <w:rsid w:val="00486BE3"/>
    <w:rsid w:val="00490512"/>
    <w:rsid w:val="004905E4"/>
    <w:rsid w:val="00490A89"/>
    <w:rsid w:val="00490AB4"/>
    <w:rsid w:val="00492F02"/>
    <w:rsid w:val="004939AE"/>
    <w:rsid w:val="004A12DF"/>
    <w:rsid w:val="004A17E6"/>
    <w:rsid w:val="004A1BA8"/>
    <w:rsid w:val="004A4B57"/>
    <w:rsid w:val="004A5C15"/>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1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212"/>
    <w:rsid w:val="00534804"/>
    <w:rsid w:val="00534BDF"/>
    <w:rsid w:val="005354EA"/>
    <w:rsid w:val="0053585F"/>
    <w:rsid w:val="00535EC4"/>
    <w:rsid w:val="00535ED9"/>
    <w:rsid w:val="0053692B"/>
    <w:rsid w:val="00541853"/>
    <w:rsid w:val="00543BDA"/>
    <w:rsid w:val="005441CC"/>
    <w:rsid w:val="00545933"/>
    <w:rsid w:val="005479DA"/>
    <w:rsid w:val="00547BCC"/>
    <w:rsid w:val="0055013B"/>
    <w:rsid w:val="00551F6F"/>
    <w:rsid w:val="00555044"/>
    <w:rsid w:val="0055726A"/>
    <w:rsid w:val="00561475"/>
    <w:rsid w:val="0056487B"/>
    <w:rsid w:val="00564FB9"/>
    <w:rsid w:val="00573D9E"/>
    <w:rsid w:val="00576B12"/>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8BA"/>
    <w:rsid w:val="005C29B8"/>
    <w:rsid w:val="005C5F21"/>
    <w:rsid w:val="005C7156"/>
    <w:rsid w:val="005D0C75"/>
    <w:rsid w:val="005D308B"/>
    <w:rsid w:val="005D4171"/>
    <w:rsid w:val="005D6A95"/>
    <w:rsid w:val="005D6B2C"/>
    <w:rsid w:val="005D6D9C"/>
    <w:rsid w:val="005E2335"/>
    <w:rsid w:val="005E34CA"/>
    <w:rsid w:val="005E3C18"/>
    <w:rsid w:val="005E5923"/>
    <w:rsid w:val="005E6812"/>
    <w:rsid w:val="005E7881"/>
    <w:rsid w:val="005E78E0"/>
    <w:rsid w:val="005F0D9C"/>
    <w:rsid w:val="005F1B89"/>
    <w:rsid w:val="005F284E"/>
    <w:rsid w:val="005F4712"/>
    <w:rsid w:val="006015CE"/>
    <w:rsid w:val="00604784"/>
    <w:rsid w:val="00606419"/>
    <w:rsid w:val="00607D29"/>
    <w:rsid w:val="00612952"/>
    <w:rsid w:val="0061329C"/>
    <w:rsid w:val="00614CC1"/>
    <w:rsid w:val="00615A9D"/>
    <w:rsid w:val="00617387"/>
    <w:rsid w:val="006200B4"/>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F6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2B5A"/>
    <w:rsid w:val="006A336D"/>
    <w:rsid w:val="006A37B9"/>
    <w:rsid w:val="006A382F"/>
    <w:rsid w:val="006B2672"/>
    <w:rsid w:val="006B54BF"/>
    <w:rsid w:val="006B5F44"/>
    <w:rsid w:val="006B5F90"/>
    <w:rsid w:val="006B62E4"/>
    <w:rsid w:val="006C0E93"/>
    <w:rsid w:val="006C1BBA"/>
    <w:rsid w:val="006C2079"/>
    <w:rsid w:val="006C3061"/>
    <w:rsid w:val="006C5A62"/>
    <w:rsid w:val="006C5D68"/>
    <w:rsid w:val="006C6976"/>
    <w:rsid w:val="006C6DD0"/>
    <w:rsid w:val="006D04EA"/>
    <w:rsid w:val="006D0AB7"/>
    <w:rsid w:val="006D16C4"/>
    <w:rsid w:val="006D3E96"/>
    <w:rsid w:val="006D41A1"/>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E8"/>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630"/>
    <w:rsid w:val="0078114B"/>
    <w:rsid w:val="00781DD2"/>
    <w:rsid w:val="00783ECF"/>
    <w:rsid w:val="0078413A"/>
    <w:rsid w:val="00786272"/>
    <w:rsid w:val="00791B0D"/>
    <w:rsid w:val="007959E8"/>
    <w:rsid w:val="00795E9C"/>
    <w:rsid w:val="007A0521"/>
    <w:rsid w:val="007A2E12"/>
    <w:rsid w:val="007A3475"/>
    <w:rsid w:val="007A41C8"/>
    <w:rsid w:val="007A54CE"/>
    <w:rsid w:val="007A6FD9"/>
    <w:rsid w:val="007A7FFA"/>
    <w:rsid w:val="007B04EB"/>
    <w:rsid w:val="007B0D4F"/>
    <w:rsid w:val="007B1345"/>
    <w:rsid w:val="007B5A3D"/>
    <w:rsid w:val="007B5B95"/>
    <w:rsid w:val="007B68EA"/>
    <w:rsid w:val="007B7453"/>
    <w:rsid w:val="007C1B9D"/>
    <w:rsid w:val="007C1E8B"/>
    <w:rsid w:val="007C2D89"/>
    <w:rsid w:val="007C4593"/>
    <w:rsid w:val="007C5309"/>
    <w:rsid w:val="007C6069"/>
    <w:rsid w:val="007D06C4"/>
    <w:rsid w:val="007D1352"/>
    <w:rsid w:val="007D2508"/>
    <w:rsid w:val="007D2B9C"/>
    <w:rsid w:val="007D346A"/>
    <w:rsid w:val="007D6518"/>
    <w:rsid w:val="007D76BD"/>
    <w:rsid w:val="007E0BF1"/>
    <w:rsid w:val="007F0ED8"/>
    <w:rsid w:val="007F0F63"/>
    <w:rsid w:val="007F75CE"/>
    <w:rsid w:val="0080051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3BE"/>
    <w:rsid w:val="0083348C"/>
    <w:rsid w:val="008373D3"/>
    <w:rsid w:val="00840617"/>
    <w:rsid w:val="00840F84"/>
    <w:rsid w:val="00842A47"/>
    <w:rsid w:val="00843C13"/>
    <w:rsid w:val="008440B2"/>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6D8"/>
    <w:rsid w:val="00896DFF"/>
    <w:rsid w:val="0089762C"/>
    <w:rsid w:val="008A1179"/>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B95"/>
    <w:rsid w:val="009062E6"/>
    <w:rsid w:val="00911BE5"/>
    <w:rsid w:val="00913CA9"/>
    <w:rsid w:val="009145AE"/>
    <w:rsid w:val="009146CE"/>
    <w:rsid w:val="00914CA7"/>
    <w:rsid w:val="00915481"/>
    <w:rsid w:val="00915C3E"/>
    <w:rsid w:val="009161A8"/>
    <w:rsid w:val="009245F5"/>
    <w:rsid w:val="009249EC"/>
    <w:rsid w:val="009273B3"/>
    <w:rsid w:val="009305B5"/>
    <w:rsid w:val="009429D5"/>
    <w:rsid w:val="00942BF1"/>
    <w:rsid w:val="00945180"/>
    <w:rsid w:val="00945428"/>
    <w:rsid w:val="0094607B"/>
    <w:rsid w:val="00947091"/>
    <w:rsid w:val="009528C0"/>
    <w:rsid w:val="00953604"/>
    <w:rsid w:val="0095496B"/>
    <w:rsid w:val="009610DC"/>
    <w:rsid w:val="00961490"/>
    <w:rsid w:val="0096381A"/>
    <w:rsid w:val="00965CA1"/>
    <w:rsid w:val="00965E04"/>
    <w:rsid w:val="009674AD"/>
    <w:rsid w:val="00970CDC"/>
    <w:rsid w:val="00970FC8"/>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592"/>
    <w:rsid w:val="009B407F"/>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737"/>
    <w:rsid w:val="009F03B3"/>
    <w:rsid w:val="009F5514"/>
    <w:rsid w:val="00A0096C"/>
    <w:rsid w:val="00A01757"/>
    <w:rsid w:val="00A028C0"/>
    <w:rsid w:val="00A02BAE"/>
    <w:rsid w:val="00A06A6B"/>
    <w:rsid w:val="00A07B87"/>
    <w:rsid w:val="00A07E47"/>
    <w:rsid w:val="00A11F82"/>
    <w:rsid w:val="00A129D0"/>
    <w:rsid w:val="00A12C33"/>
    <w:rsid w:val="00A138BA"/>
    <w:rsid w:val="00A13D69"/>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5A26"/>
    <w:rsid w:val="00A67866"/>
    <w:rsid w:val="00A70B07"/>
    <w:rsid w:val="00A723F8"/>
    <w:rsid w:val="00A77CCB"/>
    <w:rsid w:val="00A82E7A"/>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31E"/>
    <w:rsid w:val="00AC27A6"/>
    <w:rsid w:val="00AC2A61"/>
    <w:rsid w:val="00AC30F7"/>
    <w:rsid w:val="00AC3A5A"/>
    <w:rsid w:val="00AC4AC6"/>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299"/>
    <w:rsid w:val="00B76DA5"/>
    <w:rsid w:val="00B77EC8"/>
    <w:rsid w:val="00B827A6"/>
    <w:rsid w:val="00B831CE"/>
    <w:rsid w:val="00B8550A"/>
    <w:rsid w:val="00B86677"/>
    <w:rsid w:val="00B87131"/>
    <w:rsid w:val="00B939B1"/>
    <w:rsid w:val="00B96D40"/>
    <w:rsid w:val="00B97386"/>
    <w:rsid w:val="00BA263B"/>
    <w:rsid w:val="00BA3FAA"/>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E53"/>
    <w:rsid w:val="00C25FE2"/>
    <w:rsid w:val="00C26B53"/>
    <w:rsid w:val="00C279B2"/>
    <w:rsid w:val="00C3083C"/>
    <w:rsid w:val="00C329CF"/>
    <w:rsid w:val="00C33E50"/>
    <w:rsid w:val="00C34C20"/>
    <w:rsid w:val="00C35A3E"/>
    <w:rsid w:val="00C42130"/>
    <w:rsid w:val="00C423A4"/>
    <w:rsid w:val="00C44BF5"/>
    <w:rsid w:val="00C521D6"/>
    <w:rsid w:val="00C54BAA"/>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444"/>
    <w:rsid w:val="00CD4A20"/>
    <w:rsid w:val="00CD50A1"/>
    <w:rsid w:val="00CD519E"/>
    <w:rsid w:val="00CD561D"/>
    <w:rsid w:val="00CE0C4F"/>
    <w:rsid w:val="00CE30EA"/>
    <w:rsid w:val="00CF048A"/>
    <w:rsid w:val="00CF155A"/>
    <w:rsid w:val="00CF2947"/>
    <w:rsid w:val="00CF686F"/>
    <w:rsid w:val="00CF6E60"/>
    <w:rsid w:val="00CF7BCA"/>
    <w:rsid w:val="00CF7C08"/>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7152"/>
    <w:rsid w:val="00D664CD"/>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2974"/>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D6C"/>
    <w:rsid w:val="00E44A83"/>
    <w:rsid w:val="00E502C1"/>
    <w:rsid w:val="00E502DD"/>
    <w:rsid w:val="00E50D3A"/>
    <w:rsid w:val="00E51387"/>
    <w:rsid w:val="00E51E68"/>
    <w:rsid w:val="00E52EFD"/>
    <w:rsid w:val="00E5408A"/>
    <w:rsid w:val="00E554C8"/>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1D7"/>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3995"/>
    <w:rsid w:val="00F1409D"/>
    <w:rsid w:val="00F14214"/>
    <w:rsid w:val="00F157A9"/>
    <w:rsid w:val="00F25BB6"/>
    <w:rsid w:val="00F26B7E"/>
    <w:rsid w:val="00F27A3B"/>
    <w:rsid w:val="00F30C94"/>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388"/>
    <w:rsid w:val="00F72AE7"/>
    <w:rsid w:val="00F81141"/>
    <w:rsid w:val="00F833BA"/>
    <w:rsid w:val="00F84FD0"/>
    <w:rsid w:val="00F859A8"/>
    <w:rsid w:val="00F86C91"/>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3F08"/>
    <w:rsid w:val="00FE4BCE"/>
    <w:rsid w:val="00FE54AE"/>
    <w:rsid w:val="00FE576A"/>
    <w:rsid w:val="00FE7E79"/>
    <w:rsid w:val="00FF3E7D"/>
    <w:rsid w:val="00FF5B99"/>
    <w:rsid w:val="00FF730C"/>
    <w:rsid w:val="00FF73F4"/>
    <w:rsid w:val="00FF7CE4"/>
    <w:rsid w:val="00FF7E39"/>
    <w:rsid w:val="05543D3D"/>
    <w:rsid w:val="06627767"/>
    <w:rsid w:val="082212DD"/>
    <w:rsid w:val="0C7C564B"/>
    <w:rsid w:val="0C964315"/>
    <w:rsid w:val="0F693DB1"/>
    <w:rsid w:val="127F34A2"/>
    <w:rsid w:val="15F90A10"/>
    <w:rsid w:val="177328B0"/>
    <w:rsid w:val="178E2B6B"/>
    <w:rsid w:val="17EE5464"/>
    <w:rsid w:val="18C35256"/>
    <w:rsid w:val="1CD61E09"/>
    <w:rsid w:val="28CB6AE5"/>
    <w:rsid w:val="29A356E4"/>
    <w:rsid w:val="2A3E5A88"/>
    <w:rsid w:val="3F695B32"/>
    <w:rsid w:val="4A352F17"/>
    <w:rsid w:val="4A6E118C"/>
    <w:rsid w:val="4AE71234"/>
    <w:rsid w:val="4F1E20DD"/>
    <w:rsid w:val="501971BC"/>
    <w:rsid w:val="524B1F69"/>
    <w:rsid w:val="529E110A"/>
    <w:rsid w:val="548431E6"/>
    <w:rsid w:val="591E7219"/>
    <w:rsid w:val="5CA0016E"/>
    <w:rsid w:val="61546768"/>
    <w:rsid w:val="669053A3"/>
    <w:rsid w:val="6876137A"/>
    <w:rsid w:val="688269DC"/>
    <w:rsid w:val="6CD27AE2"/>
    <w:rsid w:val="707515AF"/>
    <w:rsid w:val="7DE1111A"/>
    <w:rsid w:val="7FCA7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7"/>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 w:type="paragraph" w:customStyle="1" w:styleId="234">
    <w:name w:val="终结线"/>
    <w:basedOn w:val="1"/>
    <w:qFormat/>
    <w:uiPriority w:val="0"/>
    <w:pPr>
      <w:framePr w:hSpace="181" w:vSpace="181" w:wrap="around" w:vAnchor="text" w:hAnchor="margin" w:xAlign="center" w:y="285"/>
    </w:pPr>
  </w:style>
  <w:style w:type="paragraph" w:customStyle="1" w:styleId="235">
    <w:name w:val="标准书眉_偶数页"/>
    <w:basedOn w:val="236"/>
    <w:next w:val="1"/>
    <w:qFormat/>
    <w:uiPriority w:val="0"/>
    <w:pPr>
      <w:tabs>
        <w:tab w:val="center" w:pos="4154"/>
        <w:tab w:val="right" w:pos="8306"/>
      </w:tabs>
      <w:jc w:val="left"/>
    </w:pPr>
  </w:style>
  <w:style w:type="paragraph" w:customStyle="1" w:styleId="23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character" w:customStyle="1" w:styleId="237">
    <w:name w:val="批注文字 Char"/>
    <w:basedOn w:val="29"/>
    <w:link w:val="13"/>
    <w:semiHidden/>
    <w:qFormat/>
    <w:uiPriority w:val="99"/>
    <w:rPr>
      <w:kern w:val="2"/>
      <w:sz w:val="21"/>
      <w:szCs w:val="21"/>
    </w:rPr>
  </w:style>
  <w:style w:type="paragraph" w:styleId="238">
    <w:name w:val="List Paragraph"/>
    <w:basedOn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2" Type="http://schemas.openxmlformats.org/officeDocument/2006/relationships/glossaryDocument" Target="glossary/document.xml"/><Relationship Id="rId81" Type="http://schemas.openxmlformats.org/officeDocument/2006/relationships/fontTable" Target="fontTable.xml"/><Relationship Id="rId80" Type="http://schemas.openxmlformats.org/officeDocument/2006/relationships/customXml" Target="../customXml/item2.xml"/><Relationship Id="rId8" Type="http://schemas.openxmlformats.org/officeDocument/2006/relationships/footer" Target="footer3.xml"/><Relationship Id="rId79" Type="http://schemas.openxmlformats.org/officeDocument/2006/relationships/numbering" Target="numbering.xml"/><Relationship Id="rId78" Type="http://schemas.openxmlformats.org/officeDocument/2006/relationships/customXml" Target="../customXml/item1.xml"/><Relationship Id="rId77" Type="http://schemas.openxmlformats.org/officeDocument/2006/relationships/image" Target="media/image19.jpeg"/><Relationship Id="rId76" Type="http://schemas.openxmlformats.org/officeDocument/2006/relationships/image" Target="media/image18.wmf"/><Relationship Id="rId75" Type="http://schemas.openxmlformats.org/officeDocument/2006/relationships/oleObject" Target="embeddings/oleObject16.bin"/><Relationship Id="rId74" Type="http://schemas.openxmlformats.org/officeDocument/2006/relationships/image" Target="media/image17.wmf"/><Relationship Id="rId73" Type="http://schemas.openxmlformats.org/officeDocument/2006/relationships/oleObject" Target="embeddings/oleObject15.bin"/><Relationship Id="rId72" Type="http://schemas.openxmlformats.org/officeDocument/2006/relationships/image" Target="media/image16.wmf"/><Relationship Id="rId71" Type="http://schemas.openxmlformats.org/officeDocument/2006/relationships/oleObject" Target="embeddings/oleObject14.bin"/><Relationship Id="rId70" Type="http://schemas.openxmlformats.org/officeDocument/2006/relationships/image" Target="media/image15.wmf"/><Relationship Id="rId7" Type="http://schemas.openxmlformats.org/officeDocument/2006/relationships/footer" Target="footer2.xml"/><Relationship Id="rId69" Type="http://schemas.openxmlformats.org/officeDocument/2006/relationships/oleObject" Target="embeddings/oleObject13.bin"/><Relationship Id="rId68" Type="http://schemas.openxmlformats.org/officeDocument/2006/relationships/image" Target="media/image14.wmf"/><Relationship Id="rId67" Type="http://schemas.openxmlformats.org/officeDocument/2006/relationships/oleObject" Target="embeddings/oleObject12.bin"/><Relationship Id="rId66" Type="http://schemas.openxmlformats.org/officeDocument/2006/relationships/image" Target="media/image13.wmf"/><Relationship Id="rId65" Type="http://schemas.openxmlformats.org/officeDocument/2006/relationships/oleObject" Target="embeddings/oleObject11.bin"/><Relationship Id="rId64" Type="http://schemas.openxmlformats.org/officeDocument/2006/relationships/image" Target="media/image12.wmf"/><Relationship Id="rId63" Type="http://schemas.openxmlformats.org/officeDocument/2006/relationships/oleObject" Target="embeddings/oleObject10.bin"/><Relationship Id="rId62" Type="http://schemas.openxmlformats.org/officeDocument/2006/relationships/image" Target="media/image11.wmf"/><Relationship Id="rId61" Type="http://schemas.openxmlformats.org/officeDocument/2006/relationships/oleObject" Target="embeddings/oleObject9.bin"/><Relationship Id="rId60" Type="http://schemas.openxmlformats.org/officeDocument/2006/relationships/image" Target="media/image10.wmf"/><Relationship Id="rId6" Type="http://schemas.openxmlformats.org/officeDocument/2006/relationships/footer" Target="footer1.xml"/><Relationship Id="rId59" Type="http://schemas.openxmlformats.org/officeDocument/2006/relationships/oleObject" Target="embeddings/oleObject8.bin"/><Relationship Id="rId58" Type="http://schemas.openxmlformats.org/officeDocument/2006/relationships/image" Target="media/image9.wmf"/><Relationship Id="rId57" Type="http://schemas.openxmlformats.org/officeDocument/2006/relationships/oleObject" Target="embeddings/oleObject7.bin"/><Relationship Id="rId56" Type="http://schemas.openxmlformats.org/officeDocument/2006/relationships/image" Target="media/image8.wmf"/><Relationship Id="rId55" Type="http://schemas.openxmlformats.org/officeDocument/2006/relationships/oleObject" Target="embeddings/oleObject6.bin"/><Relationship Id="rId54" Type="http://schemas.openxmlformats.org/officeDocument/2006/relationships/image" Target="media/image7.jpeg"/><Relationship Id="rId53" Type="http://schemas.openxmlformats.org/officeDocument/2006/relationships/image" Target="media/image6.wmf"/><Relationship Id="rId52" Type="http://schemas.openxmlformats.org/officeDocument/2006/relationships/oleObject" Target="embeddings/oleObject5.bin"/><Relationship Id="rId51" Type="http://schemas.openxmlformats.org/officeDocument/2006/relationships/image" Target="media/image5.wmf"/><Relationship Id="rId50" Type="http://schemas.openxmlformats.org/officeDocument/2006/relationships/oleObject" Target="embeddings/oleObject4.bin"/><Relationship Id="rId5" Type="http://schemas.openxmlformats.org/officeDocument/2006/relationships/header" Target="header3.xml"/><Relationship Id="rId49" Type="http://schemas.openxmlformats.org/officeDocument/2006/relationships/image" Target="media/image4.wmf"/><Relationship Id="rId48" Type="http://schemas.openxmlformats.org/officeDocument/2006/relationships/oleObject" Target="embeddings/oleObject3.bin"/><Relationship Id="rId47" Type="http://schemas.openxmlformats.org/officeDocument/2006/relationships/image" Target="media/image3.wmf"/><Relationship Id="rId46" Type="http://schemas.openxmlformats.org/officeDocument/2006/relationships/oleObject" Target="embeddings/oleObject2.bin"/><Relationship Id="rId45" Type="http://schemas.openxmlformats.org/officeDocument/2006/relationships/image" Target="media/image2.wmf"/><Relationship Id="rId44" Type="http://schemas.openxmlformats.org/officeDocument/2006/relationships/oleObject" Target="embeddings/oleObject1.bin"/><Relationship Id="rId43" Type="http://schemas.openxmlformats.org/officeDocument/2006/relationships/image" Target="media/image1.jpeg"/><Relationship Id="rId42" Type="http://schemas.openxmlformats.org/officeDocument/2006/relationships/image" Target="media/image1.tiff"/><Relationship Id="rId41" Type="http://schemas.openxmlformats.org/officeDocument/2006/relationships/theme" Target="theme/theme1.xml"/><Relationship Id="rId40" Type="http://schemas.openxmlformats.org/officeDocument/2006/relationships/footer" Target="footer19.xml"/><Relationship Id="rId4" Type="http://schemas.openxmlformats.org/officeDocument/2006/relationships/header" Target="header2.xml"/><Relationship Id="rId39" Type="http://schemas.openxmlformats.org/officeDocument/2006/relationships/footer" Target="footer18.xml"/><Relationship Id="rId38" Type="http://schemas.openxmlformats.org/officeDocument/2006/relationships/header" Target="header19.xml"/><Relationship Id="rId37" Type="http://schemas.openxmlformats.org/officeDocument/2006/relationships/header" Target="header18.xml"/><Relationship Id="rId36" Type="http://schemas.openxmlformats.org/officeDocument/2006/relationships/footer" Target="footer17.xml"/><Relationship Id="rId35" Type="http://schemas.openxmlformats.org/officeDocument/2006/relationships/footer" Target="footer16.xml"/><Relationship Id="rId34" Type="http://schemas.openxmlformats.org/officeDocument/2006/relationships/header" Target="header17.xml"/><Relationship Id="rId33" Type="http://schemas.openxmlformats.org/officeDocument/2006/relationships/header" Target="header16.xml"/><Relationship Id="rId32" Type="http://schemas.openxmlformats.org/officeDocument/2006/relationships/footer" Target="footer15.xml"/><Relationship Id="rId31" Type="http://schemas.openxmlformats.org/officeDocument/2006/relationships/footer" Target="footer14.xml"/><Relationship Id="rId30" Type="http://schemas.openxmlformats.org/officeDocument/2006/relationships/header" Target="header15.xml"/><Relationship Id="rId3" Type="http://schemas.openxmlformats.org/officeDocument/2006/relationships/header" Target="header1.xml"/><Relationship Id="rId29" Type="http://schemas.openxmlformats.org/officeDocument/2006/relationships/header" Target="head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94539CB2F534BF9B0382044EAC04333"/>
        <w:style w:val=""/>
        <w:category>
          <w:name w:val="常规"/>
          <w:gallery w:val="placeholder"/>
        </w:category>
        <w:types>
          <w:type w:val="bbPlcHdr"/>
        </w:types>
        <w:behaviors>
          <w:behavior w:val="content"/>
        </w:behaviors>
        <w:description w:val=""/>
        <w:guid w:val="{997D588E-C8D1-4DF7-B8B3-B519C0B148C6}"/>
      </w:docPartPr>
      <w:docPartBody>
        <w:p>
          <w:pPr>
            <w:pStyle w:val="5"/>
          </w:pPr>
          <w:r>
            <w:rPr>
              <w:rStyle w:val="4"/>
              <w:rFonts w:hint="eastAsia"/>
            </w:rPr>
            <w:t>单击或点击此处输入文字。</w:t>
          </w:r>
        </w:p>
      </w:docPartBody>
    </w:docPart>
    <w:docPart>
      <w:docPartPr>
        <w:name w:val="F59118D5B6EE41A6A010BDA66E389205"/>
        <w:style w:val=""/>
        <w:category>
          <w:name w:val="常规"/>
          <w:gallery w:val="placeholder"/>
        </w:category>
        <w:types>
          <w:type w:val="bbPlcHdr"/>
        </w:types>
        <w:behaviors>
          <w:behavior w:val="content"/>
        </w:behaviors>
        <w:description w:val=""/>
        <w:guid w:val="{6D7EED4C-4AAA-422B-B80F-2BB0519D669A}"/>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3425F1"/>
    <w:rsid w:val="0002012E"/>
    <w:rsid w:val="000B20B6"/>
    <w:rsid w:val="000D41DD"/>
    <w:rsid w:val="00317309"/>
    <w:rsid w:val="00327734"/>
    <w:rsid w:val="003425F1"/>
    <w:rsid w:val="004E7C81"/>
    <w:rsid w:val="008C0ABF"/>
    <w:rsid w:val="008E5EAA"/>
    <w:rsid w:val="00B62550"/>
    <w:rsid w:val="00D22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94539CB2F534BF9B0382044EAC043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59118D5B6EE41A6A010BDA66E3892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E68E9AA9462410EB35FB9FC1D77C9B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D39506-F813-4C2C-BF8E-A4E665FDC89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26</Pages>
  <Words>11647</Words>
  <Characters>14466</Characters>
  <Lines>136</Lines>
  <Paragraphs>38</Paragraphs>
  <TotalTime>30</TotalTime>
  <ScaleCrop>false</ScaleCrop>
  <LinksUpToDate>false</LinksUpToDate>
  <CharactersWithSpaces>14761</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2024-09-14T03:02:00Z</dcterms:created>
  <dc:creator>范红梅</dc:creator>
  <dc:description>&lt;config cover="true" show_menu="true" version="1.0.0" doctype="SDKXY"&gt;_x000d_
&lt;/config&gt;</dc:description>
  <cp:lastModifiedBy>HYX</cp:lastModifiedBy>
  <cp:lastPrinted>2020-08-30T10:00:00Z</cp:lastPrinted>
  <dcterms:modified xsi:type="dcterms:W3CDTF">2024-10-11T09:12:16Z</dcterms:modified>
  <dc:title>地方标准</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2052-11.8.6.8556</vt:lpwstr>
  </property>
  <property fmtid="{D5CDD505-2E9C-101B-9397-08002B2CF9AE}" pid="16" name="ICV">
    <vt:lpwstr>14C36B12FE8342C9AE8F0FAEF82E282A_13</vt:lpwstr>
  </property>
</Properties>
</file>